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jc w:val="center"/>
        <w:rPr>
          <w:rFonts w:hint="eastAsia" w:ascii="宋体" w:hAnsi="宋体" w:eastAsia="宋体" w:cs="宋体"/>
          <w:sz w:val="48"/>
          <w:szCs w:val="48"/>
        </w:rPr>
      </w:pPr>
      <w:r>
        <w:rPr>
          <w:rFonts w:hint="eastAsia" w:ascii="宋体" w:hAnsi="宋体" w:eastAsia="宋体" w:cs="宋体"/>
          <w:sz w:val="48"/>
          <w:szCs w:val="48"/>
        </w:rPr>
        <w:t>蚌埠市第一人民医院</w:t>
      </w:r>
      <w:r>
        <w:rPr>
          <w:rFonts w:hint="eastAsia" w:ascii="宋体" w:hAnsi="宋体" w:cs="宋体"/>
          <w:sz w:val="48"/>
          <w:szCs w:val="48"/>
          <w:lang w:val="en-US" w:eastAsia="zh-CN"/>
        </w:rPr>
        <w:t>烧伤整形科</w:t>
      </w:r>
      <w:r>
        <w:rPr>
          <w:rFonts w:hint="eastAsia" w:ascii="宋体" w:hAnsi="宋体" w:eastAsia="宋体" w:cs="宋体"/>
          <w:sz w:val="48"/>
          <w:szCs w:val="48"/>
        </w:rPr>
        <w:t>耗材</w:t>
      </w:r>
    </w:p>
    <w:p>
      <w:pPr>
        <w:pStyle w:val="5"/>
        <w:numPr>
          <w:ilvl w:val="0"/>
          <w:numId w:val="0"/>
        </w:numPr>
        <w:jc w:val="center"/>
        <w:rPr>
          <w:rFonts w:hint="eastAsia" w:ascii="宋体" w:hAnsi="宋体" w:eastAsia="宋体" w:cs="宋体"/>
          <w:sz w:val="48"/>
          <w:szCs w:val="48"/>
        </w:rPr>
      </w:pPr>
      <w:r>
        <w:rPr>
          <w:rFonts w:hint="eastAsia" w:ascii="宋体" w:hAnsi="宋体" w:eastAsia="宋体" w:cs="宋体"/>
          <w:sz w:val="48"/>
          <w:szCs w:val="48"/>
        </w:rPr>
        <w:t>采购项目</w:t>
      </w:r>
    </w:p>
    <w:p>
      <w:pPr>
        <w:widowControl/>
        <w:spacing w:line="600" w:lineRule="atLeast"/>
        <w:jc w:val="center"/>
        <w:rPr>
          <w:rFonts w:hint="eastAsia" w:ascii="宋体" w:hAnsi="宋体" w:cs="宋体"/>
          <w:kern w:val="0"/>
          <w:sz w:val="52"/>
          <w:szCs w:val="52"/>
          <w:shd w:val="clear" w:color="auto" w:fill="FFFFFF"/>
        </w:rPr>
      </w:pPr>
    </w:p>
    <w:p>
      <w:pPr>
        <w:widowControl/>
        <w:spacing w:line="600" w:lineRule="atLeast"/>
        <w:jc w:val="center"/>
        <w:rPr>
          <w:rFonts w:hint="eastAsia" w:ascii="宋体" w:hAnsi="宋体" w:cs="宋体"/>
          <w:kern w:val="0"/>
          <w:sz w:val="52"/>
          <w:szCs w:val="52"/>
          <w:shd w:val="clear" w:color="auto" w:fill="FFFFFF"/>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ind w:firstLine="840" w:firstLineChars="300"/>
        <w:jc w:val="left"/>
        <w:rPr>
          <w:rFonts w:hint="eastAsia" w:ascii="宋体" w:hAnsi="宋体" w:cs="宋体"/>
          <w:sz w:val="28"/>
          <w:szCs w:val="28"/>
        </w:rPr>
      </w:pPr>
    </w:p>
    <w:p>
      <w:pPr>
        <w:ind w:firstLine="840" w:firstLineChars="300"/>
        <w:jc w:val="left"/>
        <w:rPr>
          <w:rFonts w:hint="eastAsia" w:ascii="宋体" w:hAnsi="宋体" w:cs="宋体"/>
          <w:sz w:val="28"/>
          <w:szCs w:val="28"/>
        </w:rPr>
      </w:pPr>
    </w:p>
    <w:p>
      <w:pPr>
        <w:ind w:firstLine="840" w:firstLineChars="300"/>
        <w:jc w:val="left"/>
        <w:rPr>
          <w:rFonts w:hint="eastAsia" w:ascii="宋体" w:hAnsi="宋体" w:cs="宋体"/>
          <w:sz w:val="28"/>
          <w:szCs w:val="28"/>
        </w:rPr>
      </w:pPr>
    </w:p>
    <w:p>
      <w:pPr>
        <w:ind w:firstLine="840" w:firstLineChars="300"/>
        <w:jc w:val="left"/>
        <w:rPr>
          <w:rFonts w:hint="eastAsia" w:ascii="宋体" w:hAnsi="宋体" w:cs="宋体"/>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firstLine="1400" w:firstLineChars="5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2022年9月</w:t>
      </w:r>
      <w:r>
        <w:rPr>
          <w:rFonts w:hint="eastAsia" w:ascii="宋体" w:hAnsi="宋体" w:cs="宋体"/>
          <w:sz w:val="28"/>
          <w:szCs w:val="28"/>
          <w:u w:val="single"/>
          <w:lang w:val="en-US" w:eastAsia="zh-CN"/>
        </w:rPr>
        <w:t>30</w:t>
      </w:r>
      <w:r>
        <w:rPr>
          <w:rFonts w:hint="eastAsia" w:ascii="宋体" w:hAnsi="宋体" w:cs="宋体"/>
          <w:sz w:val="28"/>
          <w:szCs w:val="28"/>
          <w:u w:val="single"/>
        </w:rPr>
        <w:t>日</w:t>
      </w:r>
    </w:p>
    <w:p>
      <w:pPr>
        <w:rPr>
          <w:kern w:val="0"/>
          <w:shd w:val="clear" w:color="auto" w:fill="FFFFFF"/>
        </w:rPr>
      </w:pPr>
      <w:r>
        <w:rPr>
          <w:kern w:val="0"/>
          <w:shd w:val="clear" w:color="auto" w:fill="FFFFFF"/>
        </w:rPr>
        <w:br w:type="page"/>
      </w:r>
    </w:p>
    <w:p>
      <w:pPr>
        <w:pStyle w:val="2"/>
        <w:rPr>
          <w:kern w:val="0"/>
          <w:shd w:val="clear" w:color="auto" w:fill="FFFFFF"/>
        </w:rPr>
      </w:pPr>
    </w:p>
    <w:p>
      <w:pPr>
        <w:widowControl/>
        <w:numPr>
          <w:ilvl w:val="0"/>
          <w:numId w:val="2"/>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项目名称：蚌埠市第一人民医院烧伤整形科耗材采购项目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default" w:ascii="宋体" w:hAnsi="宋体" w:eastAsia="宋体" w:cs="宋体"/>
          <w:kern w:val="0"/>
          <w:sz w:val="24"/>
          <w:szCs w:val="24"/>
          <w:shd w:val="clear" w:color="auto" w:fill="FFFFFF"/>
          <w:lang w:val="en-US" w:eastAsia="zh-CN"/>
        </w:rPr>
      </w:pPr>
      <w:r>
        <w:rPr>
          <w:rFonts w:hint="eastAsia" w:ascii="宋体" w:hAnsi="宋体" w:cs="宋体"/>
          <w:kern w:val="0"/>
          <w:sz w:val="24"/>
          <w:szCs w:val="24"/>
          <w:shd w:val="clear" w:color="auto" w:fill="FFFFFF"/>
        </w:rPr>
        <w:t>4、项目编号：ZCGF-BBYY-20220</w:t>
      </w:r>
      <w:r>
        <w:rPr>
          <w:rFonts w:hint="eastAsia" w:ascii="宋体" w:hAnsi="宋体" w:cs="宋体"/>
          <w:kern w:val="0"/>
          <w:sz w:val="24"/>
          <w:szCs w:val="24"/>
          <w:shd w:val="clear" w:color="auto" w:fill="FFFFFF"/>
          <w:lang w:val="en-US" w:eastAsia="zh-CN"/>
        </w:rPr>
        <w:t>30</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5、主要内容：蚌埠市第一人民医院烧伤整形科耗材采购项目，</w:t>
      </w:r>
      <w:r>
        <w:rPr>
          <w:rFonts w:hint="eastAsia" w:ascii="宋体" w:hAnsi="宋体" w:cs="宋体"/>
          <w:kern w:val="0"/>
          <w:sz w:val="24"/>
          <w:szCs w:val="24"/>
          <w:highlight w:val="none"/>
          <w:shd w:val="clear" w:color="auto" w:fill="FFFFFF"/>
          <w:lang w:val="en-US" w:eastAsia="zh-CN"/>
        </w:rPr>
        <w:t>主要采购烧伤整形科耗材，</w:t>
      </w:r>
      <w:r>
        <w:rPr>
          <w:rFonts w:hint="eastAsia" w:ascii="宋体" w:hAnsi="宋体" w:cs="宋体"/>
          <w:kern w:val="0"/>
          <w:sz w:val="24"/>
          <w:szCs w:val="24"/>
          <w:highlight w:val="none"/>
          <w:shd w:val="clear" w:color="auto" w:fill="FFFFFF"/>
        </w:rPr>
        <w:t>具体详见采购需求。</w:t>
      </w:r>
    </w:p>
    <w:p>
      <w:pPr>
        <w:widowControl/>
        <w:snapToGrid w:val="0"/>
        <w:spacing w:line="360" w:lineRule="auto"/>
        <w:jc w:val="left"/>
        <w:rPr>
          <w:rFonts w:hint="eastAsia"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6、采购预算：44.56万元/2年；</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7、</w:t>
      </w:r>
      <w:r>
        <w:rPr>
          <w:rFonts w:hint="eastAsia" w:ascii="宋体" w:hAnsi="宋体"/>
          <w:sz w:val="24"/>
          <w:szCs w:val="24"/>
          <w:highlight w:val="none"/>
          <w:lang w:val="zh-CN"/>
        </w:rPr>
        <w:t>质保期</w:t>
      </w:r>
      <w:r>
        <w:rPr>
          <w:rFonts w:hint="eastAsia" w:ascii="宋体" w:hAnsi="宋体" w:cs="宋体"/>
          <w:kern w:val="0"/>
          <w:sz w:val="24"/>
          <w:szCs w:val="24"/>
          <w:highlight w:val="none"/>
          <w:shd w:val="clear" w:color="auto" w:fill="FFFFFF"/>
        </w:rPr>
        <w:t>：</w:t>
      </w:r>
      <w:r>
        <w:rPr>
          <w:rFonts w:hint="eastAsia" w:ascii="宋体" w:hAnsi="宋体" w:cs="宋体"/>
          <w:kern w:val="0"/>
          <w:sz w:val="24"/>
          <w:szCs w:val="24"/>
          <w:highlight w:val="none"/>
          <w:shd w:val="clear" w:color="auto" w:fill="FFFFFF"/>
          <w:lang w:val="en-US" w:eastAsia="zh-CN"/>
        </w:rPr>
        <w:t>耗材</w:t>
      </w:r>
      <w:r>
        <w:rPr>
          <w:rFonts w:hint="eastAsia" w:ascii="宋体" w:hAnsi="宋体" w:cs="宋体"/>
          <w:kern w:val="0"/>
          <w:sz w:val="24"/>
          <w:szCs w:val="24"/>
          <w:highlight w:val="none"/>
          <w:shd w:val="clear" w:color="auto" w:fill="FFFFFF"/>
        </w:rPr>
        <w:t>全生命周期；</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8、供货安装地点：</w:t>
      </w:r>
      <w:r>
        <w:rPr>
          <w:rFonts w:hint="eastAsia" w:ascii="宋体" w:hAnsi="宋体"/>
          <w:kern w:val="10"/>
          <w:sz w:val="24"/>
          <w:szCs w:val="24"/>
          <w:highlight w:val="none"/>
        </w:rPr>
        <w:t>免费送货至采购人指定地点</w:t>
      </w:r>
      <w:r>
        <w:rPr>
          <w:rFonts w:hint="eastAsia" w:ascii="宋体" w:hAnsi="宋体" w:cs="宋体"/>
          <w:kern w:val="0"/>
          <w:sz w:val="24"/>
          <w:szCs w:val="24"/>
          <w:highlight w:val="none"/>
          <w:shd w:val="clear" w:color="auto" w:fill="FFFFFF"/>
        </w:rPr>
        <w:t>；</w:t>
      </w:r>
    </w:p>
    <w:p>
      <w:pPr>
        <w:widowControl/>
        <w:snapToGrid w:val="0"/>
        <w:spacing w:line="360" w:lineRule="auto"/>
        <w:jc w:val="left"/>
        <w:rPr>
          <w:rFonts w:ascii="宋体" w:hAnsi="宋体" w:eastAsia="宋体" w:cs="宋体"/>
          <w:kern w:val="0"/>
          <w:sz w:val="24"/>
          <w:szCs w:val="24"/>
          <w:highlight w:val="none"/>
          <w:shd w:val="clear" w:color="auto" w:fill="FFFFFF"/>
        </w:rPr>
      </w:pPr>
      <w:r>
        <w:rPr>
          <w:rFonts w:hint="eastAsia" w:ascii="宋体" w:hAnsi="宋体" w:eastAsia="宋体" w:cs="宋体"/>
          <w:kern w:val="0"/>
          <w:sz w:val="24"/>
          <w:szCs w:val="24"/>
          <w:highlight w:val="none"/>
          <w:shd w:val="clear" w:color="auto" w:fill="FFFFFF"/>
        </w:rPr>
        <w:t>9、</w:t>
      </w:r>
      <w:r>
        <w:rPr>
          <w:rFonts w:hint="eastAsia" w:ascii="宋体" w:hAnsi="宋体"/>
          <w:sz w:val="24"/>
          <w:szCs w:val="24"/>
          <w:highlight w:val="none"/>
        </w:rPr>
        <w:t xml:space="preserve">供货要求：接医院通知后，按医院要求时间进行供货；甲乙双方约定采购数量为暂估数量，结算时以实际用量为准，合作期2年，如遇国家和省市政策价格调整并按规定执行。    </w:t>
      </w:r>
    </w:p>
    <w:p>
      <w:pPr>
        <w:widowControl/>
        <w:snapToGrid w:val="0"/>
        <w:spacing w:line="360" w:lineRule="auto"/>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10、拟采用的评审方法：综合评分法；</w:t>
      </w:r>
    </w:p>
    <w:p>
      <w:pPr>
        <w:pStyle w:val="11"/>
        <w:widowControl/>
        <w:shd w:val="clear" w:color="auto" w:fill="FFFFFF"/>
        <w:spacing w:beforeAutospacing="0" w:afterAutospacing="0" w:line="360" w:lineRule="auto"/>
        <w:ind w:left="1680" w:hanging="1680" w:hangingChars="700"/>
        <w:rPr>
          <w:rFonts w:hint="eastAsia" w:ascii="宋体" w:hAnsi="宋体" w:cs="宋体"/>
          <w:szCs w:val="24"/>
          <w:highlight w:val="none"/>
          <w:shd w:val="clear" w:color="auto" w:fill="FFFFFF"/>
          <w:lang w:eastAsia="zh-CN"/>
        </w:rPr>
      </w:pPr>
      <w:r>
        <w:rPr>
          <w:rFonts w:hint="eastAsia" w:ascii="宋体" w:hAnsi="宋体" w:cs="宋体"/>
          <w:szCs w:val="24"/>
          <w:highlight w:val="none"/>
          <w:shd w:val="clear" w:color="auto" w:fill="FFFFFF"/>
        </w:rPr>
        <w:t>11、服务期</w:t>
      </w:r>
      <w:r>
        <w:rPr>
          <w:rFonts w:hint="eastAsia" w:ascii="宋体" w:hAnsi="宋体" w:cs="宋体"/>
          <w:szCs w:val="24"/>
          <w:highlight w:val="none"/>
          <w:shd w:val="clear" w:color="auto" w:fill="FFFFFF"/>
          <w:lang w:eastAsia="zh-CN"/>
        </w:rPr>
        <w:t>：2年，合同采用1+1模式执行；</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12、付款方式：</w:t>
      </w:r>
      <w:r>
        <w:rPr>
          <w:rFonts w:hint="eastAsia" w:ascii="宋体" w:hAnsi="宋体" w:cs="宋体"/>
          <w:b w:val="0"/>
          <w:bCs/>
          <w:szCs w:val="24"/>
          <w:highlight w:val="none"/>
          <w:shd w:val="clear" w:color="auto" w:fill="FFFFFF"/>
          <w:lang w:eastAsia="zh-CN"/>
        </w:rPr>
        <w:t>付款周期为</w:t>
      </w:r>
      <w:r>
        <w:rPr>
          <w:rFonts w:hint="eastAsia" w:ascii="宋体" w:hAnsi="宋体" w:cs="宋体"/>
          <w:b w:val="0"/>
          <w:bCs/>
          <w:szCs w:val="24"/>
          <w:highlight w:val="none"/>
          <w:shd w:val="clear" w:color="auto" w:fill="FFFFFF"/>
          <w:lang w:val="en-US" w:eastAsia="zh-CN"/>
        </w:rPr>
        <w:t>3个月，例如供货第1个月的货款第4个月</w:t>
      </w:r>
      <w:r>
        <w:rPr>
          <w:rFonts w:hint="eastAsia" w:cs="宋体"/>
          <w:b w:val="0"/>
          <w:bCs/>
          <w:szCs w:val="24"/>
          <w:highlight w:val="none"/>
          <w:shd w:val="clear" w:color="auto" w:fill="FFFFFF"/>
          <w:lang w:val="en-US" w:eastAsia="zh-CN"/>
        </w:rPr>
        <w:t>支付，</w:t>
      </w:r>
      <w:r>
        <w:rPr>
          <w:rFonts w:hint="eastAsia" w:ascii="宋体" w:hAnsi="宋体" w:cs="宋体"/>
          <w:b w:val="0"/>
          <w:bCs/>
          <w:szCs w:val="24"/>
          <w:highlight w:val="none"/>
          <w:shd w:val="clear" w:color="auto" w:fill="FFFFFF"/>
          <w:lang w:val="en-US" w:eastAsia="zh-CN"/>
        </w:rPr>
        <w:t>第2个月的货款第5个月</w:t>
      </w:r>
      <w:r>
        <w:rPr>
          <w:rFonts w:hint="eastAsia" w:cs="宋体"/>
          <w:b w:val="0"/>
          <w:bCs/>
          <w:szCs w:val="24"/>
          <w:highlight w:val="none"/>
          <w:shd w:val="clear" w:color="auto" w:fill="FFFFFF"/>
          <w:lang w:val="en-US" w:eastAsia="zh-CN"/>
        </w:rPr>
        <w:t>支付</w:t>
      </w:r>
    </w:p>
    <w:p>
      <w:pPr>
        <w:pStyle w:val="11"/>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13、</w:t>
      </w:r>
      <w:r>
        <w:rPr>
          <w:rFonts w:hint="eastAsia" w:ascii="宋体" w:hAnsi="宋体" w:cs="宋体"/>
          <w:szCs w:val="24"/>
          <w:highlight w:val="none"/>
          <w:shd w:val="clear" w:color="auto" w:fill="FFFFFF"/>
          <w:lang w:eastAsia="zh-CN"/>
        </w:rPr>
        <w:t>投标人</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1.满足《中华人民共和国政府采购法》第二十二条规定；</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2</w:t>
      </w:r>
      <w:r>
        <w:rPr>
          <w:rFonts w:hint="eastAsia" w:ascii="宋体" w:hAnsi="宋体"/>
          <w:sz w:val="24"/>
          <w:szCs w:val="28"/>
          <w:highlight w:val="none"/>
        </w:rPr>
        <w:t>.落实政府采购政策需满足的资格要求：无</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 xml:space="preserve">3.本项目的特定资格要求： </w:t>
      </w:r>
    </w:p>
    <w:p>
      <w:pPr>
        <w:autoSpaceDE w:val="0"/>
        <w:autoSpaceDN w:val="0"/>
        <w:adjustRightInd w:val="0"/>
        <w:spacing w:line="360" w:lineRule="auto"/>
        <w:jc w:val="left"/>
        <w:rPr>
          <w:rFonts w:ascii="宋体" w:hAnsi="宋体"/>
          <w:color w:val="auto"/>
          <w:sz w:val="24"/>
          <w:szCs w:val="28"/>
          <w:highlight w:val="none"/>
        </w:rPr>
      </w:pPr>
      <w:r>
        <w:rPr>
          <w:rFonts w:hint="eastAsia" w:ascii="宋体" w:hAnsi="宋体"/>
          <w:color w:val="auto"/>
          <w:sz w:val="24"/>
          <w:szCs w:val="28"/>
          <w:highlight w:val="none"/>
        </w:rPr>
        <w:t>3.1</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须具有有效的</w:t>
      </w:r>
      <w:r>
        <w:rPr>
          <w:rFonts w:ascii="宋体" w:hAnsi="宋体"/>
          <w:color w:val="auto"/>
          <w:sz w:val="24"/>
          <w:szCs w:val="28"/>
          <w:highlight w:val="none"/>
        </w:rPr>
        <w:t>营业执照</w:t>
      </w:r>
      <w:r>
        <w:rPr>
          <w:rFonts w:hint="eastAsia" w:ascii="宋体" w:hAnsi="宋体"/>
          <w:color w:val="auto"/>
          <w:sz w:val="24"/>
          <w:szCs w:val="28"/>
          <w:highlight w:val="none"/>
        </w:rPr>
        <w:t>；</w:t>
      </w:r>
    </w:p>
    <w:p>
      <w:pPr>
        <w:autoSpaceDE w:val="0"/>
        <w:autoSpaceDN w:val="0"/>
        <w:adjustRightInd w:val="0"/>
        <w:spacing w:line="360" w:lineRule="auto"/>
        <w:jc w:val="left"/>
        <w:rPr>
          <w:rFonts w:ascii="宋体" w:hAnsi="宋体"/>
          <w:color w:val="auto"/>
          <w:sz w:val="24"/>
          <w:szCs w:val="28"/>
          <w:highlight w:val="none"/>
        </w:rPr>
      </w:pPr>
      <w:r>
        <w:rPr>
          <w:rFonts w:hint="eastAsia" w:ascii="宋体" w:hAnsi="宋体"/>
          <w:color w:val="auto"/>
          <w:sz w:val="24"/>
          <w:szCs w:val="28"/>
          <w:highlight w:val="none"/>
        </w:rPr>
        <w:t>3.2</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如为代理商须具有有效的医疗器械经营许可证或备案凭证；如所投产品制造商在国内注册成立的，</w:t>
      </w:r>
      <w:r>
        <w:rPr>
          <w:rFonts w:hint="eastAsia" w:ascii="宋体" w:hAnsi="宋体" w:cs="宋体"/>
          <w:szCs w:val="24"/>
          <w:highlight w:val="none"/>
          <w:shd w:val="clear" w:color="auto" w:fill="FFFFFF"/>
          <w:lang w:eastAsia="zh-CN"/>
        </w:rPr>
        <w:t>投标人</w:t>
      </w:r>
      <w:r>
        <w:rPr>
          <w:rFonts w:hint="eastAsia" w:ascii="宋体" w:hAnsi="宋体"/>
          <w:color w:val="auto"/>
          <w:sz w:val="24"/>
          <w:szCs w:val="28"/>
          <w:highlight w:val="none"/>
        </w:rPr>
        <w:t>投标时还须提供制造商的有效医疗器械生产许可证或备案凭证；</w:t>
      </w:r>
      <w:r>
        <w:rPr>
          <w:rFonts w:hint="eastAsia" w:ascii="宋体" w:hAnsi="宋体"/>
          <w:color w:val="auto"/>
          <w:sz w:val="24"/>
          <w:szCs w:val="28"/>
          <w:highlight w:val="none"/>
          <w:lang w:eastAsia="zh-CN"/>
        </w:rPr>
        <w:t>投标人须提供产品的医疗器械注册证（二、三类医疗器械）或备案凭证（一类医疗器械）</w:t>
      </w:r>
      <w:r>
        <w:rPr>
          <w:rFonts w:hint="eastAsia" w:ascii="宋体" w:hAnsi="宋体"/>
          <w:color w:val="auto"/>
          <w:sz w:val="24"/>
          <w:szCs w:val="28"/>
          <w:highlight w:val="none"/>
        </w:rPr>
        <w:t>；</w:t>
      </w:r>
      <w:r>
        <w:rPr>
          <w:rFonts w:hint="eastAsia" w:ascii="宋体" w:hAnsi="宋体"/>
          <w:color w:val="auto"/>
          <w:sz w:val="24"/>
          <w:szCs w:val="28"/>
          <w:highlight w:val="none"/>
          <w:lang w:eastAsia="zh-CN"/>
        </w:rPr>
        <w:t xml:space="preserve">供应商提供的证件需在注册期内，中标后签订合同前提供相关授权。 </w:t>
      </w:r>
    </w:p>
    <w:p>
      <w:pPr>
        <w:autoSpaceDE w:val="0"/>
        <w:autoSpaceDN w:val="0"/>
        <w:adjustRightInd w:val="0"/>
        <w:spacing w:line="360" w:lineRule="auto"/>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3.</w:t>
      </w:r>
      <w:r>
        <w:rPr>
          <w:rFonts w:hint="eastAsia" w:ascii="宋体" w:hAnsi="宋体" w:eastAsia="宋体" w:cs="Times New Roman"/>
          <w:color w:val="auto"/>
          <w:sz w:val="24"/>
          <w:szCs w:val="28"/>
          <w:highlight w:val="none"/>
          <w:lang w:val="en-US" w:eastAsia="zh-CN"/>
        </w:rPr>
        <w:t>3</w:t>
      </w:r>
      <w:r>
        <w:rPr>
          <w:rFonts w:hint="eastAsia" w:ascii="宋体" w:hAnsi="宋体" w:eastAsia="宋体" w:cs="Times New Roman"/>
          <w:color w:val="auto"/>
          <w:sz w:val="24"/>
          <w:szCs w:val="28"/>
          <w:highlight w:val="none"/>
        </w:rPr>
        <w:t>投标人须执行《安徽省公立医疗机构医用耗材采购推行“两票制”实施意见》的相关规定及当地相关政策；</w:t>
      </w:r>
    </w:p>
    <w:p>
      <w:pPr>
        <w:autoSpaceDE w:val="0"/>
        <w:autoSpaceDN w:val="0"/>
        <w:adjustRightInd w:val="0"/>
        <w:spacing w:line="360" w:lineRule="auto"/>
        <w:jc w:val="left"/>
        <w:rPr>
          <w:rFonts w:hint="eastAsia"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lang w:val="en-US" w:eastAsia="zh-CN"/>
        </w:rPr>
        <w:t>3.4所投产品如属于安徽省医药集中采购中心平台范围交易目录的产品须提供流水号及限价，备案目录提供流水号</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lang w:val="en-US" w:eastAsia="zh-CN"/>
        </w:rPr>
        <w:t>5</w:t>
      </w:r>
      <w:r>
        <w:rPr>
          <w:rFonts w:hint="eastAsia" w:ascii="宋体" w:hAnsi="宋体"/>
          <w:sz w:val="24"/>
          <w:szCs w:val="28"/>
          <w:highlight w:val="none"/>
        </w:rPr>
        <w:t>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lang w:val="en-US" w:eastAsia="zh-CN"/>
        </w:rPr>
        <w:t>6</w:t>
      </w:r>
      <w:r>
        <w:rPr>
          <w:rFonts w:hint="eastAsia" w:ascii="宋体" w:hAnsi="宋体"/>
          <w:sz w:val="24"/>
          <w:szCs w:val="28"/>
          <w:highlight w:val="none"/>
        </w:rPr>
        <w:t>投标供应商存在以下不良信用记录情形之一的，不得推荐为成交候选供应商，不得确定为成交供应商：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①供应商被人民法院列入失信被执行人的；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②供应商或其法定代表人或拟派项目负责人被人民检察院列入行贿犯罪档案的；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③供应商被工商行政管理部门列入企业经营异常名录的；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④供应商被税务部门列入重大税收违法案件当事人名单的；</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rPr>
        <w:t>⑤供应商被政府采购监管部门列入政府采购严重违法失信行为记录名单的。</w:t>
      </w:r>
    </w:p>
    <w:p>
      <w:pPr>
        <w:rPr>
          <w:rFonts w:hint="eastAsia" w:ascii="新宋体" w:hAnsi="新宋体" w:eastAsia="新宋体" w:cs="方正小标宋简体"/>
          <w:b/>
          <w:sz w:val="32"/>
          <w:szCs w:val="36"/>
          <w:highlight w:val="none"/>
        </w:rPr>
      </w:pPr>
      <w:r>
        <w:rPr>
          <w:rFonts w:ascii="黑体" w:hAnsi="黑体" w:eastAsia="黑体"/>
          <w:sz w:val="32"/>
          <w:szCs w:val="32"/>
          <w:highlight w:val="none"/>
        </w:rPr>
        <w:br w:type="page"/>
      </w:r>
    </w:p>
    <w:tbl>
      <w:tblPr>
        <w:tblStyle w:val="13"/>
        <w:tblW w:w="90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2"/>
        <w:gridCol w:w="1700"/>
        <w:gridCol w:w="985"/>
        <w:gridCol w:w="2291"/>
        <w:gridCol w:w="955"/>
        <w:gridCol w:w="1143"/>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9020" w:type="dxa"/>
            <w:gridSpan w:val="7"/>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8"/>
                <w:szCs w:val="28"/>
                <w:highlight w:val="none"/>
                <w:u w:val="none"/>
                <w:lang w:val="en-US" w:eastAsia="zh-CN"/>
              </w:rPr>
              <w:t>烧伤整形科耗材参数（两年44.56万元）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812"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1700"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985"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2291"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955"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1143"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c>
          <w:tcPr>
            <w:tcW w:w="1134" w:type="dxa"/>
            <w:tcBorders>
              <w:top w:val="nil"/>
              <w:left w:val="nil"/>
              <w:bottom w:val="nil"/>
              <w:right w:val="nil"/>
            </w:tcBorders>
            <w:noWrap/>
            <w:vAlign w:val="center"/>
          </w:tcPr>
          <w:p>
            <w:pPr>
              <w:rPr>
                <w:rFonts w:hint="eastAsia" w:ascii="宋体" w:hAnsi="宋体" w:eastAsia="宋体" w:cs="宋体"/>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序号</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产品名称</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产地</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规格型号</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控制价（元）</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单个预估量</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预算金额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中高端乳房假体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进口</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基础款，圆形光面、毛面（副）</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10000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中端乳房假体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200-260CC（副）</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5000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中低端乳房假体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200-260CC（副）</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4500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13500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中端下巴假体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C2、4、5</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中低端下巴假体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硅胶、各规格</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中高端鼻假体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硅胶、各规格</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7</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中端鼻假体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硅胶、各规格</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中低端鼻假体</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硅胶、各规格</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9</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注射用透明质酸钠凝胶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进口</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1ml</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1200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注射用透明质酸钠凝胶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1ml</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11</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硅酮疤痕贴</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30*120mm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12</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硅酮疤痕贴</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30*80mm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13</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硅酮疤痕凝胶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进口</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14</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硅酮疤痕凝胶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医用修复敷料（高）</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≥5片</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16</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医用修复敷料（中）</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≥5片</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210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17</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医用修复敷料（低）</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≥5片</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18</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一次性皮肤减张缝合器</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2cm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350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19</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一次性皮肤减张缝合器</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4cm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550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一次性皮肤减张缝合器</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8cm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800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21</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一次性皮肤减张缝合器</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16cm</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1200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22</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医用美容胶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0.5ml</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23</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导光凝胶（光子冷凝胶）</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250克</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8"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24</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化学换肤术护理包</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含敷料贴、面膜、果酸等</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25</w:t>
            </w:r>
          </w:p>
        </w:tc>
        <w:tc>
          <w:tcPr>
            <w:tcW w:w="17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color w:val="000000"/>
                <w:kern w:val="0"/>
                <w:sz w:val="24"/>
                <w:szCs w:val="24"/>
                <w:highlight w:val="none"/>
              </w:rPr>
              <w:t>*</w:t>
            </w:r>
            <w:r>
              <w:rPr>
                <w:rFonts w:hint="eastAsia" w:ascii="宋体" w:hAnsi="宋体" w:eastAsia="宋体" w:cs="宋体"/>
                <w:i w:val="0"/>
                <w:iCs w:val="0"/>
                <w:color w:val="000000"/>
                <w:kern w:val="0"/>
                <w:sz w:val="24"/>
                <w:szCs w:val="24"/>
                <w:highlight w:val="none"/>
                <w:u w:val="none"/>
                <w:lang w:val="en-US" w:eastAsia="zh-CN"/>
              </w:rPr>
              <w:t>胶原蛋白敷料</w:t>
            </w:r>
          </w:p>
        </w:tc>
        <w:tc>
          <w:tcPr>
            <w:tcW w:w="9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国产</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30g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200</w:t>
            </w:r>
          </w:p>
        </w:tc>
        <w:tc>
          <w:tcPr>
            <w:tcW w:w="11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500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100000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7886"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合计</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rPr>
              <w:t>445600</w:t>
            </w:r>
          </w:p>
        </w:tc>
      </w:tr>
    </w:tbl>
    <w:p>
      <w:pPr>
        <w:ind w:right="1280"/>
        <w:rPr>
          <w:rFonts w:hint="eastAsia" w:ascii="仿宋" w:hAnsi="仿宋" w:eastAsia="宋体"/>
          <w:sz w:val="32"/>
          <w:szCs w:val="32"/>
          <w:highlight w:val="none"/>
          <w:lang w:val="en-US" w:eastAsia="zh-CN"/>
        </w:rPr>
      </w:pPr>
      <w:r>
        <w:rPr>
          <w:rFonts w:hint="eastAsia" w:ascii="宋体" w:hAnsi="宋体" w:eastAsia="宋体" w:cs="宋体"/>
          <w:sz w:val="24"/>
          <w:szCs w:val="24"/>
          <w:highlight w:val="none"/>
          <w:lang w:val="en-US" w:eastAsia="zh-CN"/>
        </w:rPr>
        <w:t>备注：以上清单为2年用量  带*的产品为核心产品</w:t>
      </w:r>
    </w:p>
    <w:p>
      <w:pPr>
        <w:ind w:right="1280"/>
        <w:rPr>
          <w:rFonts w:hint="eastAsia" w:ascii="宋体" w:hAnsi="宋体" w:eastAsia="宋体" w:cs="宋体"/>
          <w:sz w:val="28"/>
          <w:szCs w:val="28"/>
          <w:highlight w:val="none"/>
        </w:rPr>
      </w:pPr>
      <w:r>
        <w:rPr>
          <w:rFonts w:hint="eastAsia" w:ascii="宋体" w:hAnsi="宋体" w:eastAsia="宋体" w:cs="宋体"/>
          <w:sz w:val="28"/>
          <w:szCs w:val="28"/>
          <w:highlight w:val="none"/>
        </w:rPr>
        <w:t>二、具体要求：</w:t>
      </w:r>
    </w:p>
    <w:p>
      <w:pPr>
        <w:ind w:right="-58"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招标周期两年，招标单价，预估金额为</w:t>
      </w:r>
      <w:r>
        <w:rPr>
          <w:rFonts w:hint="eastAsia" w:ascii="宋体" w:hAnsi="宋体" w:eastAsia="宋体" w:cs="宋体"/>
          <w:sz w:val="28"/>
          <w:szCs w:val="28"/>
          <w:highlight w:val="none"/>
          <w:lang w:val="en-US" w:eastAsia="zh-CN"/>
        </w:rPr>
        <w:t>44.56</w:t>
      </w:r>
      <w:r>
        <w:rPr>
          <w:rFonts w:hint="eastAsia" w:ascii="宋体" w:hAnsi="宋体" w:eastAsia="宋体" w:cs="宋体"/>
          <w:sz w:val="28"/>
          <w:szCs w:val="28"/>
          <w:highlight w:val="none"/>
        </w:rPr>
        <w:t>万元。所投产品属于安徽省医用耗材集中采购平台内产品的，须提供流水号、采购限价等信息。</w:t>
      </w:r>
    </w:p>
    <w:p>
      <w:pPr>
        <w:numPr>
          <w:ilvl w:val="0"/>
          <w:numId w:val="3"/>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进口中高端乳房假体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1.要求所投产品为水凝胶型乳房假体，假体囊内容物为果冻状水凝胶，较硅胶型乳房假体更加安全可靠，排斥反应发生率更低，形态与手感俱佳，无渗漏，接口处都采纳同种材料，具备更好的隔离性能。</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2.高耐磨性，可承受≥650万次抗疲劳性测试。</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3.凝胶内集聚力强，壳体扯断伸长率可1000%，回弹性优异。</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4.高品质的胸部假体绒毛面紧凑有序的排列，可大大降低包膜挛缩的发生率一般的胸部假体产品能接受的最小值不得低于1600psi。</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5.产品规格型号包含：光面圆形（半球形、水滴形）和毛面圆形（半球形、水滴形）、毛面自然型（半球形、水滴形）。</w:t>
      </w:r>
    </w:p>
    <w:p>
      <w:pPr>
        <w:ind w:right="-58"/>
        <w:rPr>
          <w:rFonts w:hint="eastAsia" w:ascii="宋体" w:hAnsi="宋体" w:eastAsia="宋体" w:cs="宋体"/>
          <w:sz w:val="28"/>
          <w:szCs w:val="28"/>
          <w:highlight w:val="none"/>
        </w:rPr>
      </w:pPr>
    </w:p>
    <w:p>
      <w:pPr>
        <w:numPr>
          <w:ilvl w:val="0"/>
          <w:numId w:val="3"/>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国产中端乳房假体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1.要求所投产品为水凝胶型乳房假体，假体囊内容物为果冻状水凝胶，较硅胶型乳房假体更加安全可靠，排斥反应发生率更低，形态与手感俱佳，无渗漏，接口处都采纳同种材料，具备更好的隔离性能。</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2.高耐磨性，可承受≥500万次抗疲劳性测试。</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3.具备200-260CC规格假体。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4.凝胶内集聚力强，壳体扯断伸长率≥800%。</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5.高品质的胸部假体绒毛面紧凑有序的排列，可大大降低包膜挛缩的发生率一般的胸部假体产品能接受的最小值不得低于1200psi。</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6.产品规格型号包含：光面圆形（半球形、水滴形）和毛面圆形（半球形、水滴形）、毛面自然型（半球形、水滴形）。</w:t>
      </w:r>
    </w:p>
    <w:p>
      <w:pPr>
        <w:ind w:right="-58"/>
        <w:rPr>
          <w:rFonts w:hint="eastAsia" w:ascii="宋体" w:hAnsi="宋体" w:eastAsia="宋体" w:cs="宋体"/>
          <w:sz w:val="28"/>
          <w:szCs w:val="28"/>
          <w:highlight w:val="none"/>
        </w:rPr>
      </w:pPr>
    </w:p>
    <w:p>
      <w:pPr>
        <w:numPr>
          <w:ilvl w:val="0"/>
          <w:numId w:val="3"/>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国产中低端乳房假体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1.要求所投产品为水凝胶型乳房假体，假体囊内容物为果冻状水凝胶，较硅胶型乳房假体更加安全可靠，排斥反应发生率更低，形态与手感俱佳，无渗漏。</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2.高耐磨性，可承受≥400万次抗疲劳性测试。</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3.具备200-260CC规格假体。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4.凝胶内集聚力强，壳体扯断伸长率≥600%。</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5.高品质的胸部假体绒毛面紧凑有序的排列，可大大降低包膜挛缩的发生率一般的胸部假体产品能接受的最小值不得低于1200psi。</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6.产品规格型号包含：光面圆形（半球形、水滴形）和毛面圆形（半球形、水滴形）、毛面自然型（半球形、水滴形）。</w:t>
      </w:r>
    </w:p>
    <w:p>
      <w:pPr>
        <w:ind w:right="-58"/>
        <w:rPr>
          <w:rFonts w:hint="eastAsia" w:ascii="宋体" w:hAnsi="宋体" w:eastAsia="宋体" w:cs="宋体"/>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（四）国产中端下巴假体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2.具备C2、C3、C4规格假体。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3.产品规格型号：多种规格可供选择。</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4.要求：假体形状更接近人体，①具有较好的生物相容性和稳定性，手感较软、自然，以致感染率较低；②可塑性好，完整的生物相容性降低了感染、穿孔的风险，同时独特的受力结构避免了某些假体移位的可能；③透光性低、④抗老化高。</w:t>
      </w:r>
    </w:p>
    <w:p>
      <w:pPr>
        <w:ind w:right="-58"/>
        <w:rPr>
          <w:rFonts w:hint="eastAsia" w:ascii="宋体" w:hAnsi="宋体" w:eastAsia="宋体" w:cs="宋体"/>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（五）国产中低端下巴假体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2.产品规格型号：多种规格可供选择。</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要求：假体形状更接近人体，①具有较好的生物相容性和稳定性，手感较软、自然，以致感染率较低；②可塑性较好，完整的生物相容性降低了感染、穿孔的风险，同时独特的受力结构避免了某些假体移位的可能；③透光性较低、④抗老化较高。</w:t>
      </w:r>
    </w:p>
    <w:p>
      <w:pPr>
        <w:ind w:right="-58"/>
        <w:rPr>
          <w:rFonts w:hint="eastAsia" w:ascii="宋体" w:hAnsi="宋体" w:eastAsia="宋体" w:cs="宋体"/>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（六）国产中高端鼻假体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使用寿命不得低于10-15年。</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2.产品规格型号：多种规格可供选择。</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要求：假体形状更接近人体，①具有更好的生物相容性和稳定性，手感较软、自然，以致感染率较低；②可塑性好，完整的生物相容性降低了感染、穿孔的风险，同时独特的受力结构避免了某些假体移位的可能；③透光性低、④抗老化高。⑤延展性好。</w:t>
      </w:r>
    </w:p>
    <w:p>
      <w:pPr>
        <w:ind w:right="-58"/>
        <w:rPr>
          <w:rFonts w:hint="eastAsia" w:ascii="宋体" w:hAnsi="宋体" w:eastAsia="宋体" w:cs="宋体"/>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（七）国产中端鼻假体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2.产品规格型号：多种规格可供选择。</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要求：假体形状更接近人体，①具有更好的生物相容性和稳定性，手感较硬；②可塑性较好，完整的生物相容性降低了感染、穿孔的风险，同时独特的受力结构避免了某些假体移位的可能；③透光性较低；④抗老化高；⑤延展性较好。</w:t>
      </w:r>
    </w:p>
    <w:p>
      <w:pPr>
        <w:ind w:right="-58"/>
        <w:rPr>
          <w:rFonts w:hint="eastAsia" w:ascii="宋体" w:hAnsi="宋体" w:eastAsia="宋体" w:cs="宋体"/>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（八）国产中低端鼻假体</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要求所投产品材料满足两种，分别为硅胶假体和膨体。其中：①硅胶假体要求成份主要是硅胶，能够在体内可保持的时间也会相对较长，如果手术以后形态不满意，能够在手术取出的时候完整的取出，从而减少副作用。②膨体：即PTFE聚四氟乙烯材料，组织贴服度及透光度优于硅胶材料，真实感比较强，而且要求与自身组织有更好的相容性。</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2.产品规格型号：多种规格可供选择。</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3.要求：假体形状更接近人体，①具有更好的生物相容性和稳定性，手感较硬；②可塑性较好，完整的生物相容性降低了感染、穿孔的风险，同时独特的受力结构避免了某些假体移位的可能；③透光性一般；④抗老化较高；⑤延展性较好。</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4.要求所投产品：国产中低端。</w:t>
      </w:r>
    </w:p>
    <w:p>
      <w:pPr>
        <w:ind w:right="-58"/>
        <w:rPr>
          <w:rFonts w:hint="eastAsia" w:ascii="宋体" w:hAnsi="宋体" w:eastAsia="宋体" w:cs="宋体"/>
          <w:sz w:val="28"/>
          <w:szCs w:val="28"/>
          <w:highlight w:val="none"/>
        </w:rPr>
      </w:pPr>
    </w:p>
    <w:p>
      <w:pPr>
        <w:numPr>
          <w:ilvl w:val="0"/>
          <w:numId w:val="4"/>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进口注射用透明质酸钠凝胶</w:t>
      </w:r>
    </w:p>
    <w:p>
      <w:pPr>
        <w:numPr>
          <w:ilvl w:val="0"/>
          <w:numId w:val="5"/>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参数要求：要求该产品应由预灌封塑料注射器、不锈钢注射针和封装在注射器中的凝胶悬液组成。凝胶由经交联的透明质酸钠、未经交联的透明质酸、磷酸盐缓冲体系以及注射用水组成，其中透明质酸钠由微生物发酵法制备，交联透明质酸钠标示浓度为24mg/mL，未经交联的透明质酸含量5%。封装了凝胶的注射器已经湿热灭菌，注射针要求无菌，须经环氧乙烷灭菌。该产品一次性使用。</w:t>
      </w:r>
    </w:p>
    <w:p>
      <w:pPr>
        <w:numPr>
          <w:ilvl w:val="0"/>
          <w:numId w:val="5"/>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适用于面部真皮组织中层至深层注射，以纠正中重度鼻唇沟皱纹。</w:t>
      </w:r>
    </w:p>
    <w:p>
      <w:pPr>
        <w:numPr>
          <w:ilvl w:val="0"/>
          <w:numId w:val="0"/>
        </w:numPr>
        <w:ind w:right="-58" w:righ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每支容量≥1ml。</w:t>
      </w:r>
    </w:p>
    <w:p>
      <w:pPr>
        <w:ind w:right="-58"/>
        <w:rPr>
          <w:rFonts w:hint="eastAsia" w:ascii="宋体" w:hAnsi="宋体" w:eastAsia="宋体" w:cs="宋体"/>
          <w:sz w:val="28"/>
          <w:szCs w:val="28"/>
          <w:highlight w:val="none"/>
        </w:rPr>
      </w:pPr>
    </w:p>
    <w:p>
      <w:pPr>
        <w:numPr>
          <w:ilvl w:val="0"/>
          <w:numId w:val="4"/>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国产注射用透明质酸钠凝胶</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参数要求：要求该产品应由预灌封塑料注射器、不锈钢注射针和封装在注射器中的凝胶悬液组成。凝胶由经交联的透明质酸钠、未经交联的透明质酸、磷酸盐缓冲体系以及注射用水组成，其中透明质酸钠由微生物发酵法制备，交联透明质酸钠标示浓度为24mg/mL，未经交联的透明质酸含量5%。封装了凝胶的注射器已经湿热灭菌，注射针要求无菌，须经环氧乙烷灭菌。该产品一次性使用。</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2.适用于面部真皮组织中层至深层注射，以纠正中重度鼻唇沟皱纹。</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每支容量≥1ml</w:t>
      </w:r>
    </w:p>
    <w:p>
      <w:pPr>
        <w:ind w:right="-58"/>
        <w:rPr>
          <w:rFonts w:hint="eastAsia" w:ascii="宋体" w:hAnsi="宋体" w:eastAsia="宋体" w:cs="宋体"/>
          <w:sz w:val="28"/>
          <w:szCs w:val="28"/>
          <w:highlight w:val="none"/>
        </w:rPr>
      </w:pPr>
    </w:p>
    <w:p>
      <w:pPr>
        <w:numPr>
          <w:ilvl w:val="0"/>
          <w:numId w:val="4"/>
        </w:num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硅酮疤痕贴</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1.参数要求：要求该产品应内含医用硅凝胶膜，无毒聚氨酯薄膜。水蒸气透过量大于30g/（m</w:t>
      </w:r>
      <w:r>
        <w:rPr>
          <w:rFonts w:hint="eastAsia" w:ascii="宋体" w:hAnsi="宋体" w:eastAsia="宋体" w:cs="宋体"/>
          <w:kern w:val="0"/>
          <w:sz w:val="28"/>
          <w:szCs w:val="28"/>
          <w:highlight w:val="none"/>
          <w:vertAlign w:val="superscript"/>
        </w:rPr>
        <w:t>2</w:t>
      </w:r>
      <w:r>
        <w:rPr>
          <w:rFonts w:hint="eastAsia" w:ascii="宋体" w:hAnsi="宋体" w:eastAsia="宋体" w:cs="宋体"/>
          <w:kern w:val="0"/>
          <w:sz w:val="28"/>
          <w:szCs w:val="28"/>
          <w:highlight w:val="none"/>
        </w:rPr>
        <w:t>*24h），断裂伸长率不低于200%能通过GB/T16886.1-2011及GB15979-2002的要求进行生物学评价，结果表明无生物危害。</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2.能够反复使用、防水透气、防紫外线、自由裁剪和贴近肤色设计。</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3.适用于抑制体表外伤、烧伤和手术愈合后的疤痕增生。</w:t>
      </w:r>
    </w:p>
    <w:p>
      <w:pPr>
        <w:ind w:right="-58" w:firstLine="280" w:firstLineChars="100"/>
        <w:rPr>
          <w:rFonts w:hint="eastAsia" w:ascii="宋体" w:hAnsi="宋体" w:eastAsia="宋体" w:cs="宋体"/>
          <w:strike/>
          <w:kern w:val="0"/>
          <w:sz w:val="28"/>
          <w:szCs w:val="28"/>
          <w:highlight w:val="none"/>
        </w:rPr>
      </w:pPr>
      <w:r>
        <w:rPr>
          <w:rFonts w:hint="eastAsia" w:ascii="宋体" w:hAnsi="宋体" w:eastAsia="宋体" w:cs="宋体"/>
          <w:kern w:val="0"/>
          <w:sz w:val="28"/>
          <w:szCs w:val="28"/>
          <w:highlight w:val="none"/>
        </w:rPr>
        <w:t>4.所投产品尺寸分别满足≥30*80mm和≥30*120mm</w:t>
      </w:r>
    </w:p>
    <w:p>
      <w:pPr>
        <w:ind w:right="-58"/>
        <w:rPr>
          <w:rFonts w:hint="eastAsia" w:ascii="宋体" w:hAnsi="宋体" w:eastAsia="宋体" w:cs="宋体"/>
          <w:kern w:val="0"/>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sz w:val="28"/>
          <w:szCs w:val="28"/>
          <w:highlight w:val="none"/>
        </w:rPr>
        <w:t>（十二）进口</w:t>
      </w:r>
      <w:r>
        <w:rPr>
          <w:rFonts w:hint="eastAsia" w:ascii="宋体" w:hAnsi="宋体" w:eastAsia="宋体" w:cs="宋体"/>
          <w:kern w:val="0"/>
          <w:sz w:val="28"/>
          <w:szCs w:val="28"/>
          <w:highlight w:val="none"/>
        </w:rPr>
        <w:t>硅酮疤痕凝胶</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1.参数要求：要求产品主要由环五硅氧烷、聚二甲基硅氧烷、气相二氧化硅、聚二甲基硅氧烷交联聚合物组成。</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2.适用于处理旧的或新的,由烧伤、一般外科手术和外伤导致的疤痕造成的肥厚性瘢痕和瘢痕疙瘩。</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3.每支容量≥15g。</w:t>
      </w:r>
    </w:p>
    <w:p>
      <w:pPr>
        <w:ind w:right="-58"/>
        <w:rPr>
          <w:rFonts w:hint="eastAsia" w:ascii="宋体" w:hAnsi="宋体" w:eastAsia="宋体" w:cs="宋体"/>
          <w:kern w:val="0"/>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sz w:val="28"/>
          <w:szCs w:val="28"/>
          <w:highlight w:val="none"/>
        </w:rPr>
        <w:t>（十三）国产</w:t>
      </w:r>
      <w:r>
        <w:rPr>
          <w:rFonts w:hint="eastAsia" w:ascii="宋体" w:hAnsi="宋体" w:eastAsia="宋体" w:cs="宋体"/>
          <w:kern w:val="0"/>
          <w:sz w:val="28"/>
          <w:szCs w:val="28"/>
          <w:highlight w:val="none"/>
        </w:rPr>
        <w:t>硅酮疤痕凝胶</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1.参数要求：产品主要由硅酮，硬脂酸。医用甘油。软膏剂基制，纯化水混合而成。PH6.0-7.5,重金属含量以Pb计应小于等于0.003%。</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2.适用于处理旧的或新的,由烧伤、一般外科手术和外伤导致的疤痕造成的肥厚性瘢痕和瘢痕疙瘩。</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 每支容量≥15g。</w:t>
      </w:r>
    </w:p>
    <w:p>
      <w:pPr>
        <w:ind w:right="-58" w:firstLine="280" w:firstLineChars="100"/>
        <w:rPr>
          <w:rFonts w:hint="eastAsia" w:ascii="宋体" w:hAnsi="宋体" w:eastAsia="宋体" w:cs="宋体"/>
          <w:kern w:val="0"/>
          <w:sz w:val="28"/>
          <w:szCs w:val="28"/>
          <w:highlight w:val="none"/>
        </w:rPr>
      </w:pP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（十四）医用修复敷料</w:t>
      </w:r>
    </w:p>
    <w:p>
      <w:pPr>
        <w:ind w:right="-58"/>
        <w:rPr>
          <w:rFonts w:hint="eastAsia" w:ascii="宋体" w:hAnsi="宋体" w:eastAsia="宋体" w:cs="宋体"/>
          <w:sz w:val="28"/>
          <w:szCs w:val="28"/>
          <w:highlight w:val="none"/>
        </w:rPr>
      </w:pPr>
      <w:r>
        <w:rPr>
          <w:rFonts w:hint="eastAsia" w:ascii="宋体" w:hAnsi="宋体" w:eastAsia="宋体" w:cs="宋体"/>
          <w:sz w:val="28"/>
          <w:szCs w:val="28"/>
          <w:highlight w:val="none"/>
        </w:rPr>
        <w:t>1.国产高端医用修复敷料（胶原蛋白医用敷料）</w:t>
      </w:r>
    </w:p>
    <w:p>
      <w:pPr>
        <w:ind w:right="-58" w:firstLine="280" w:firstLineChars="100"/>
        <w:rPr>
          <w:rFonts w:hint="eastAsia" w:ascii="宋体" w:hAnsi="宋体" w:eastAsia="宋体" w:cs="宋体"/>
          <w:sz w:val="28"/>
          <w:szCs w:val="28"/>
          <w:highlight w:val="none"/>
        </w:rPr>
      </w:pPr>
      <w:r>
        <w:rPr>
          <w:rFonts w:hint="eastAsia" w:ascii="宋体" w:hAnsi="宋体" w:eastAsia="宋体" w:cs="宋体"/>
          <w:sz w:val="28"/>
          <w:szCs w:val="28"/>
          <w:highlight w:val="none"/>
        </w:rPr>
        <w:t>①</w:t>
      </w:r>
      <w:r>
        <w:rPr>
          <w:rFonts w:hint="eastAsia" w:ascii="宋体" w:hAnsi="宋体" w:eastAsia="宋体" w:cs="宋体"/>
          <w:kern w:val="0"/>
          <w:sz w:val="28"/>
          <w:szCs w:val="28"/>
          <w:highlight w:val="none"/>
        </w:rPr>
        <w:t>参数要求：主要材料为重组人源胶原蛋白，辅以保湿润肤剂、助溶剂以及少量防腐剂。包装材料为医用聚乙烯(或聚丙烯)瓶、玻璃材料或医用铝管。</w:t>
      </w:r>
    </w:p>
    <w:p>
      <w:pPr>
        <w:ind w:right="-58" w:firstLine="420"/>
        <w:rPr>
          <w:rFonts w:hint="eastAsia" w:ascii="宋体" w:hAnsi="宋体" w:eastAsia="宋体" w:cs="宋体"/>
          <w:sz w:val="28"/>
          <w:szCs w:val="28"/>
          <w:highlight w:val="none"/>
        </w:rPr>
      </w:pPr>
      <w:r>
        <w:rPr>
          <w:rFonts w:hint="eastAsia" w:ascii="宋体" w:hAnsi="宋体" w:eastAsia="宋体" w:cs="宋体"/>
          <w:sz w:val="28"/>
          <w:szCs w:val="28"/>
          <w:highlight w:val="none"/>
        </w:rPr>
        <w:t>②</w:t>
      </w:r>
      <w:r>
        <w:rPr>
          <w:rFonts w:hint="eastAsia" w:ascii="宋体" w:hAnsi="宋体" w:eastAsia="宋体" w:cs="宋体"/>
          <w:kern w:val="0"/>
          <w:sz w:val="28"/>
          <w:szCs w:val="28"/>
          <w:highlight w:val="none"/>
        </w:rPr>
        <w:t>适用于激光、光子嫩肤、果酸活肤术后，以及轻度日晒伤、皮炎、湿疹、敏感性皮肤、激素依赖性皮炎等屏障受损皮肤的保护与护理，同时能够修复重建皮肤屏障功能，适用于皮炎、湿疹的治疗，用于皮炎、湿疹引起的局部皮肤瘙痒、灼热、皮肤紧绷、疼痛等。可修复皮肤屏障功能，用于皮肤屏障功能受损引起的皮肤干燥脱屑、红斑、</w:t>
      </w:r>
      <w:r>
        <w:rPr>
          <w:rFonts w:hint="eastAsia" w:ascii="宋体" w:hAnsi="宋体" w:eastAsia="宋体" w:cs="宋体"/>
          <w:kern w:val="0"/>
          <w:sz w:val="28"/>
          <w:szCs w:val="28"/>
          <w:highlight w:val="none"/>
        </w:rPr>
        <w:t>丘疹、红血丝及皮肤萎缩变薄的修复。可预防疤痕形成及色素沉着。</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lang w:val="en-US" w:eastAsia="zh-CN"/>
        </w:rPr>
        <w:t>③</w:t>
      </w:r>
      <w:r>
        <w:rPr>
          <w:rFonts w:hint="eastAsia" w:ascii="宋体" w:hAnsi="宋体" w:eastAsia="宋体" w:cs="宋体"/>
          <w:kern w:val="0"/>
          <w:sz w:val="28"/>
          <w:szCs w:val="28"/>
          <w:highlight w:val="none"/>
        </w:rPr>
        <w:t>具备医疗器械注册证，每盒面膜数量≥5片。</w:t>
      </w:r>
    </w:p>
    <w:p>
      <w:pPr>
        <w:ind w:right="-58" w:firstLine="280" w:firstLineChars="100"/>
        <w:rPr>
          <w:rFonts w:hint="eastAsia" w:ascii="宋体" w:hAnsi="宋体" w:eastAsia="宋体" w:cs="宋体"/>
          <w:kern w:val="0"/>
          <w:sz w:val="28"/>
          <w:szCs w:val="28"/>
          <w:highlight w:val="none"/>
        </w:rPr>
      </w:pPr>
    </w:p>
    <w:p>
      <w:pPr>
        <w:numPr>
          <w:ilvl w:val="0"/>
          <w:numId w:val="6"/>
        </w:numPr>
        <w:ind w:right="-58"/>
        <w:rPr>
          <w:rFonts w:hint="eastAsia" w:ascii="宋体" w:hAnsi="宋体" w:eastAsia="宋体" w:cs="宋体"/>
          <w:kern w:val="0"/>
          <w:sz w:val="28"/>
          <w:szCs w:val="28"/>
          <w:highlight w:val="none"/>
        </w:rPr>
      </w:pPr>
      <w:r>
        <w:rPr>
          <w:rFonts w:hint="eastAsia" w:ascii="宋体" w:hAnsi="宋体" w:eastAsia="宋体" w:cs="宋体"/>
          <w:sz w:val="28"/>
          <w:szCs w:val="28"/>
          <w:highlight w:val="none"/>
        </w:rPr>
        <w:t>国产中端医用修复敷料（</w:t>
      </w:r>
      <w:r>
        <w:rPr>
          <w:rFonts w:hint="eastAsia" w:ascii="宋体" w:hAnsi="宋体" w:eastAsia="宋体" w:cs="宋体"/>
          <w:kern w:val="0"/>
          <w:sz w:val="28"/>
          <w:szCs w:val="28"/>
          <w:highlight w:val="none"/>
        </w:rPr>
        <w:t>透明质酸面膜）</w:t>
      </w:r>
    </w:p>
    <w:p>
      <w:pPr>
        <w:ind w:right="-58" w:firstLine="280" w:firstLineChars="100"/>
        <w:rPr>
          <w:rFonts w:hint="eastAsia" w:ascii="宋体" w:hAnsi="宋体" w:eastAsia="宋体" w:cs="宋体"/>
          <w:sz w:val="28"/>
          <w:szCs w:val="28"/>
          <w:highlight w:val="none"/>
        </w:rPr>
      </w:pPr>
      <w:r>
        <w:rPr>
          <w:rFonts w:hint="eastAsia" w:ascii="宋体" w:hAnsi="宋体" w:eastAsia="宋体" w:cs="宋体"/>
          <w:kern w:val="0"/>
          <w:sz w:val="28"/>
          <w:szCs w:val="28"/>
          <w:highlight w:val="none"/>
        </w:rPr>
        <w:t>①</w:t>
      </w:r>
      <w:r>
        <w:rPr>
          <w:rFonts w:hint="eastAsia" w:ascii="宋体" w:hAnsi="宋体" w:eastAsia="宋体" w:cs="宋体"/>
          <w:sz w:val="28"/>
          <w:szCs w:val="28"/>
          <w:highlight w:val="none"/>
        </w:rPr>
        <w:t>参数要求：主要材料透明质酸、去离子水等成分组成。</w:t>
      </w:r>
      <w:r>
        <w:rPr>
          <w:rFonts w:hint="eastAsia" w:ascii="宋体" w:hAnsi="宋体" w:eastAsia="宋体" w:cs="宋体"/>
          <w:kern w:val="0"/>
          <w:sz w:val="28"/>
          <w:szCs w:val="28"/>
          <w:highlight w:val="none"/>
        </w:rPr>
        <w:t>能够起到很好的保湿成份，营造湿性愈合环境，修护破损皮肤屏障。该产品用于抑制和缓解皮炎、敏感性肌肤、痤疮、激光治疗术后引起的皮肤炎症反应，促进创面愈合与皮肤修复，减轻炎症后色素沉着，降低瘢痕形成的风险，并对上述疾病具有一定的辅助治疗作用。</w:t>
      </w:r>
    </w:p>
    <w:p>
      <w:pPr>
        <w:ind w:right="-58" w:firstLine="280" w:firstLineChars="100"/>
        <w:rPr>
          <w:rFonts w:hint="eastAsia" w:ascii="宋体" w:hAnsi="宋体" w:eastAsia="宋体" w:cs="宋体"/>
          <w:sz w:val="28"/>
          <w:szCs w:val="28"/>
          <w:highlight w:val="none"/>
        </w:rPr>
      </w:pPr>
      <w:r>
        <w:rPr>
          <w:rFonts w:hint="eastAsia" w:ascii="宋体" w:hAnsi="宋体" w:eastAsia="宋体" w:cs="宋体"/>
          <w:kern w:val="0"/>
          <w:sz w:val="28"/>
          <w:szCs w:val="28"/>
          <w:highlight w:val="none"/>
        </w:rPr>
        <w:t>②适用于</w:t>
      </w:r>
      <w:r>
        <w:rPr>
          <w:rFonts w:hint="eastAsia" w:ascii="宋体" w:hAnsi="宋体" w:eastAsia="宋体" w:cs="宋体"/>
          <w:sz w:val="28"/>
          <w:szCs w:val="28"/>
          <w:highlight w:val="none"/>
        </w:rPr>
        <w:t>激光、光子嫩肤、果酸活肤术后，以及轻度日晒伤、皮炎、湿疹、敏感性皮肤、激素依赖性皮炎等屏障受损皮肤的保护与护理。</w:t>
      </w:r>
    </w:p>
    <w:p>
      <w:pPr>
        <w:ind w:right="-58" w:firstLine="280" w:firstLineChars="100"/>
        <w:rPr>
          <w:rFonts w:hint="eastAsia" w:ascii="宋体" w:hAnsi="宋体" w:eastAsia="宋体" w:cs="宋体"/>
          <w:sz w:val="28"/>
          <w:szCs w:val="28"/>
          <w:highlight w:val="none"/>
        </w:rPr>
      </w:pPr>
      <w:r>
        <w:rPr>
          <w:rFonts w:hint="eastAsia" w:ascii="宋体" w:hAnsi="宋体" w:eastAsia="宋体" w:cs="宋体"/>
          <w:kern w:val="0"/>
          <w:sz w:val="28"/>
          <w:szCs w:val="28"/>
          <w:highlight w:val="none"/>
          <w:lang w:val="en-US" w:eastAsia="zh-CN"/>
        </w:rPr>
        <w:t>③</w:t>
      </w:r>
      <w:r>
        <w:rPr>
          <w:rFonts w:hint="eastAsia" w:ascii="宋体" w:hAnsi="宋体" w:eastAsia="宋体" w:cs="宋体"/>
          <w:kern w:val="0"/>
          <w:sz w:val="28"/>
          <w:szCs w:val="28"/>
          <w:highlight w:val="none"/>
        </w:rPr>
        <w:t>具备医疗器械注册证，每盒面膜数量≥5片。</w:t>
      </w:r>
    </w:p>
    <w:p>
      <w:pPr>
        <w:ind w:right="-58" w:firstLine="280" w:firstLineChars="100"/>
        <w:rPr>
          <w:rFonts w:hint="eastAsia" w:ascii="宋体" w:hAnsi="宋体" w:eastAsia="宋体" w:cs="宋体"/>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sz w:val="28"/>
          <w:szCs w:val="28"/>
          <w:highlight w:val="none"/>
        </w:rPr>
        <w:t>3.国产低端医用修复敷料（</w:t>
      </w:r>
      <w:r>
        <w:rPr>
          <w:rFonts w:hint="eastAsia" w:ascii="宋体" w:hAnsi="宋体" w:eastAsia="宋体" w:cs="宋体"/>
          <w:kern w:val="0"/>
          <w:sz w:val="28"/>
          <w:szCs w:val="28"/>
          <w:highlight w:val="none"/>
        </w:rPr>
        <w:t>普通医用补水面膜）</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sz w:val="28"/>
          <w:szCs w:val="28"/>
          <w:highlight w:val="none"/>
        </w:rPr>
        <w:t>①参数要求：</w:t>
      </w:r>
      <w:r>
        <w:rPr>
          <w:rFonts w:hint="eastAsia" w:ascii="宋体" w:hAnsi="宋体" w:eastAsia="宋体" w:cs="宋体"/>
          <w:kern w:val="0"/>
          <w:sz w:val="28"/>
          <w:szCs w:val="28"/>
          <w:highlight w:val="none"/>
        </w:rPr>
        <w:t>该产品用于抑制和缓解皮炎、敏感性肌肤、痤疮、激光治疗术后引起的皮肤炎症反应，促进创面愈合与皮肤修复，减轻炎症后色素沉着，降低瘢痕形成的风险，并对上述疾病具有一定的辅助治疗作用。</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sz w:val="28"/>
          <w:szCs w:val="28"/>
          <w:highlight w:val="none"/>
        </w:rPr>
        <w:t>②</w:t>
      </w:r>
      <w:r>
        <w:rPr>
          <w:rFonts w:hint="eastAsia" w:ascii="宋体" w:hAnsi="宋体" w:eastAsia="宋体" w:cs="宋体"/>
          <w:kern w:val="0"/>
          <w:sz w:val="28"/>
          <w:szCs w:val="28"/>
          <w:highlight w:val="none"/>
        </w:rPr>
        <w:t>适用于皮肤屏障修复，具有补水作用。</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③具备医疗器械注册证，每盒面膜数量≥5片。</w:t>
      </w:r>
    </w:p>
    <w:p>
      <w:pPr>
        <w:ind w:right="-58" w:firstLine="280" w:firstLineChars="100"/>
        <w:rPr>
          <w:rFonts w:hint="eastAsia" w:ascii="宋体" w:hAnsi="宋体" w:eastAsia="宋体" w:cs="宋体"/>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（十五）一次性皮肤减张缝合器、医用美容胶（配套使用）</w:t>
      </w:r>
    </w:p>
    <w:p>
      <w:pPr>
        <w:ind w:right="-58" w:firstLine="280" w:firstLineChars="100"/>
        <w:rPr>
          <w:rFonts w:hint="eastAsia" w:ascii="宋体" w:hAnsi="宋体" w:eastAsia="宋体" w:cs="宋体"/>
          <w:sz w:val="28"/>
          <w:szCs w:val="28"/>
          <w:highlight w:val="none"/>
        </w:rPr>
      </w:pPr>
      <w:r>
        <w:rPr>
          <w:rFonts w:hint="eastAsia" w:ascii="宋体" w:hAnsi="宋体" w:eastAsia="宋体" w:cs="宋体"/>
          <w:kern w:val="0"/>
          <w:sz w:val="28"/>
          <w:szCs w:val="28"/>
          <w:highlight w:val="none"/>
        </w:rPr>
        <w:t>1.产品有拉链、卡扣、胶带组成，胶带由医用透明贴膜、水胶体、离型纸构成，医用透明贴膜为聚氨酯材料，其中塑料外壳应采用无毒ABS材料制成，产品应无菌，供一次性使用。</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2.胶带做虚切处理，增加佩戴舒适度，防止脱胶。</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3.安徽省医药集中采购平台交易目录内产品。</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4.产品结构为“V”型，可以提供八项防护。</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5.粘附层采用双层胶膜复合而成，拥有胶体回缩技术，可提供不少于15天的黏附效果。</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6.适用于人体创伤及手术切口的表层皮肤的手术缝合用。</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7.医用美容胶能够与一次性皮肤减张缝合器配套使用。</w:t>
      </w:r>
    </w:p>
    <w:p>
      <w:pPr>
        <w:ind w:right="-58" w:firstLine="280" w:firstLineChars="1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8.所投产品一次性皮肤减张缝合器至少应具备2cm、4cm、8cm、16cm，等规格，医用美容胶每支容量≥0.5ml。</w:t>
      </w:r>
    </w:p>
    <w:p>
      <w:pPr>
        <w:ind w:right="-58"/>
        <w:rPr>
          <w:rFonts w:hint="eastAsia" w:ascii="宋体" w:hAnsi="宋体" w:eastAsia="宋体" w:cs="宋体"/>
          <w:kern w:val="0"/>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（十六）光子冷凝胶</w:t>
      </w:r>
    </w:p>
    <w:p>
      <w:pPr>
        <w:numPr>
          <w:ilvl w:val="0"/>
          <w:numId w:val="7"/>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产品为无色透明水溶性高分子凝胶。</w:t>
      </w:r>
    </w:p>
    <w:p>
      <w:pPr>
        <w:numPr>
          <w:ilvl w:val="0"/>
          <w:numId w:val="7"/>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PH值为中性，对皮肤无刺激，无过敏。、</w:t>
      </w:r>
    </w:p>
    <w:p>
      <w:pPr>
        <w:numPr>
          <w:ilvl w:val="0"/>
          <w:numId w:val="7"/>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不易不燥。不易酸败。粘稠性适宜，无油腻性</w:t>
      </w:r>
    </w:p>
    <w:p>
      <w:pPr>
        <w:numPr>
          <w:ilvl w:val="0"/>
          <w:numId w:val="7"/>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主要用于光子治疗过程中隔热和导光，与光子治疗设备配合使用。5.有卡波姆，甘油，水等组织。不含有发挥药理学，免疫学或者代谢作用的成分，非无菌产品。</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6.能够达到透光率高、导热导声性能强、对皮肤无刺激，对探头无损伤。</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7.适用于光子嫩肤/激光/脱毛/E光/射频/彩光/电波拉皮美容。</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8.每瓶容量≥250g。</w:t>
      </w:r>
    </w:p>
    <w:p>
      <w:pPr>
        <w:ind w:right="-58"/>
        <w:rPr>
          <w:rFonts w:hint="eastAsia" w:ascii="宋体" w:hAnsi="宋体" w:eastAsia="宋体" w:cs="宋体"/>
          <w:kern w:val="0"/>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（十七）化学换肤术护理包</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1.化学</w:t>
      </w:r>
      <w:r>
        <w:rPr>
          <w:rFonts w:hint="eastAsia" w:ascii="宋体" w:hAnsi="宋体" w:eastAsia="宋体" w:cs="宋体"/>
          <w:kern w:val="0"/>
          <w:sz w:val="28"/>
          <w:szCs w:val="28"/>
          <w:highlight w:val="none"/>
        </w:rPr>
        <w:t>换肤术护理包要求包含∶透明质酸修护贴敷料（数量≥1 ）及相应的医用无纺布（数量≥4片，尺寸需满足治疗要求）及棉签。</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2.适用于面部果酸活肤术后对屏障受损皮肤的保护和护理。</w:t>
      </w:r>
    </w:p>
    <w:p>
      <w:pPr>
        <w:ind w:right="-58"/>
        <w:rPr>
          <w:rFonts w:hint="eastAsia" w:ascii="宋体" w:hAnsi="宋体" w:eastAsia="宋体" w:cs="宋体"/>
          <w:kern w:val="0"/>
          <w:sz w:val="28"/>
          <w:szCs w:val="28"/>
          <w:highlight w:val="none"/>
        </w:rPr>
      </w:pP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（十八）胶原蛋白敷料</w:t>
      </w:r>
    </w:p>
    <w:p>
      <w:pPr>
        <w:numPr>
          <w:ilvl w:val="0"/>
          <w:numId w:val="8"/>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具备医疗器械注册证，材料为重组人源胶原蛋白，辅以透明质酸钠、甘油和少量防腐剂(尼泊金酯类和苯氧乙醇)，产品含胶原蛋白（寡肽）分子量1000道尔顿以下，吸收率95%以上。</w:t>
      </w:r>
    </w:p>
    <w:p>
      <w:pPr>
        <w:numPr>
          <w:ilvl w:val="0"/>
          <w:numId w:val="8"/>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具备如下功能：</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①抑制和缓解 敏感肌肤等反应；</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②抑制和缓解寻常性座疮、皮肤皮炎反应；</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③提供激光治疗术后创面的愈合环境促进创面愈合；</w:t>
      </w:r>
    </w:p>
    <w:p>
      <w:p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④减轻炎症后色素沉着与瘢痕形成的风险。</w:t>
      </w:r>
    </w:p>
    <w:p>
      <w:pPr>
        <w:numPr>
          <w:ilvl w:val="0"/>
          <w:numId w:val="8"/>
        </w:numPr>
        <w:ind w:right="-58"/>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适用于湿疹、光电类术后治疗，不含激素儿童湿疹使用软膏。</w:t>
      </w:r>
    </w:p>
    <w:p>
      <w:pPr>
        <w:numPr>
          <w:ilvl w:val="0"/>
          <w:numId w:val="0"/>
        </w:numPr>
        <w:ind w:right="-58" w:rightChars="0"/>
        <w:rPr>
          <w:rFonts w:hint="eastAsia" w:ascii="宋体" w:hAnsi="宋体" w:eastAsia="宋体" w:cs="宋体"/>
          <w:sz w:val="28"/>
          <w:szCs w:val="28"/>
          <w:highlight w:val="none"/>
        </w:rPr>
      </w:pPr>
      <w:r>
        <w:rPr>
          <w:rFonts w:hint="eastAsia" w:ascii="宋体" w:hAnsi="宋体" w:eastAsia="宋体" w:cs="宋体"/>
          <w:kern w:val="0"/>
          <w:sz w:val="28"/>
          <w:szCs w:val="28"/>
          <w:highlight w:val="none"/>
          <w:lang w:val="en-US" w:eastAsia="zh-CN"/>
        </w:rPr>
        <w:t>4.</w:t>
      </w:r>
      <w:r>
        <w:rPr>
          <w:rFonts w:hint="eastAsia" w:ascii="宋体" w:hAnsi="宋体" w:eastAsia="宋体" w:cs="宋体"/>
          <w:kern w:val="0"/>
          <w:sz w:val="28"/>
          <w:szCs w:val="28"/>
          <w:highlight w:val="none"/>
        </w:rPr>
        <w:t>每支容量≥30g。</w:t>
      </w:r>
    </w:p>
    <w:p>
      <w:pPr>
        <w:pStyle w:val="2"/>
        <w:rPr>
          <w:rFonts w:hint="eastAsia" w:ascii="新宋体" w:hAnsi="新宋体" w:eastAsia="新宋体" w:cs="方正小标宋简体"/>
          <w:b/>
          <w:sz w:val="32"/>
          <w:szCs w:val="36"/>
          <w:highlight w:val="none"/>
        </w:rPr>
      </w:pPr>
    </w:p>
    <w:p>
      <w:pPr>
        <w:rPr>
          <w:rFonts w:hint="eastAsia"/>
          <w:highlight w:val="none"/>
        </w:rPr>
      </w:pPr>
      <w:bookmarkStart w:id="0" w:name="_GoBack"/>
      <w:bookmarkEnd w:id="0"/>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蚌埠市第一人民医院烧伤整形科耗材采购项目采购意向及需求公示的反馈意见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针对蚌埠市第一人民医院烧伤整形科耗材采购项目,采购意向及需求公示，我单位反馈意见如下：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1C7A7"/>
    <w:multiLevelType w:val="singleLevel"/>
    <w:tmpl w:val="AA91C7A7"/>
    <w:lvl w:ilvl="0" w:tentative="0">
      <w:start w:val="9"/>
      <w:numFmt w:val="chineseCounting"/>
      <w:suff w:val="nothing"/>
      <w:lvlText w:val="（%1）"/>
      <w:lvlJc w:val="left"/>
      <w:rPr>
        <w:rFonts w:hint="eastAsia"/>
      </w:rPr>
    </w:lvl>
  </w:abstractNum>
  <w:abstractNum w:abstractNumId="1">
    <w:nsid w:val="BF680074"/>
    <w:multiLevelType w:val="singleLevel"/>
    <w:tmpl w:val="BF680074"/>
    <w:lvl w:ilvl="0" w:tentative="0">
      <w:start w:val="1"/>
      <w:numFmt w:val="decimal"/>
      <w:lvlText w:val="%1."/>
      <w:lvlJc w:val="left"/>
      <w:pPr>
        <w:tabs>
          <w:tab w:val="left" w:pos="312"/>
        </w:tabs>
      </w:pPr>
    </w:lvl>
  </w:abstractNum>
  <w:abstractNum w:abstractNumId="2">
    <w:nsid w:val="00000000"/>
    <w:multiLevelType w:val="singleLevel"/>
    <w:tmpl w:val="00000000"/>
    <w:lvl w:ilvl="0" w:tentative="0">
      <w:start w:val="1"/>
      <w:numFmt w:val="decimal"/>
      <w:suff w:val="nothing"/>
      <w:lvlText w:val="%1、"/>
      <w:lvlJc w:val="left"/>
    </w:lvl>
  </w:abstractNum>
  <w:abstractNum w:abstractNumId="3">
    <w:nsid w:val="00000002"/>
    <w:multiLevelType w:val="multilevel"/>
    <w:tmpl w:val="00000002"/>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4">
    <w:nsid w:val="055B2557"/>
    <w:multiLevelType w:val="singleLevel"/>
    <w:tmpl w:val="055B2557"/>
    <w:lvl w:ilvl="0" w:tentative="0">
      <w:start w:val="1"/>
      <w:numFmt w:val="decimal"/>
      <w:lvlText w:val="%1."/>
      <w:lvlJc w:val="left"/>
      <w:pPr>
        <w:tabs>
          <w:tab w:val="left" w:pos="312"/>
        </w:tabs>
      </w:pPr>
    </w:lvl>
  </w:abstractNum>
  <w:abstractNum w:abstractNumId="5">
    <w:nsid w:val="0DEE7230"/>
    <w:multiLevelType w:val="singleLevel"/>
    <w:tmpl w:val="0DEE7230"/>
    <w:lvl w:ilvl="0" w:tentative="0">
      <w:start w:val="1"/>
      <w:numFmt w:val="decimal"/>
      <w:lvlText w:val="%1."/>
      <w:lvlJc w:val="left"/>
      <w:pPr>
        <w:tabs>
          <w:tab w:val="left" w:pos="312"/>
        </w:tabs>
      </w:pPr>
    </w:lvl>
  </w:abstractNum>
  <w:abstractNum w:abstractNumId="6">
    <w:nsid w:val="1797E9A1"/>
    <w:multiLevelType w:val="singleLevel"/>
    <w:tmpl w:val="1797E9A1"/>
    <w:lvl w:ilvl="0" w:tentative="0">
      <w:start w:val="1"/>
      <w:numFmt w:val="chineseCounting"/>
      <w:suff w:val="nothing"/>
      <w:lvlText w:val="（%1）"/>
      <w:lvlJc w:val="left"/>
      <w:rPr>
        <w:rFonts w:hint="eastAsia"/>
      </w:rPr>
    </w:lvl>
  </w:abstractNum>
  <w:abstractNum w:abstractNumId="7">
    <w:nsid w:val="4E086F52"/>
    <w:multiLevelType w:val="singleLevel"/>
    <w:tmpl w:val="4E086F52"/>
    <w:lvl w:ilvl="0" w:tentative="0">
      <w:start w:val="1"/>
      <w:numFmt w:val="decimal"/>
      <w:lvlText w:val="%1."/>
      <w:lvlJc w:val="left"/>
      <w:pPr>
        <w:tabs>
          <w:tab w:val="left" w:pos="312"/>
        </w:tabs>
      </w:pPr>
    </w:lvl>
  </w:abstractNum>
  <w:num w:numId="1">
    <w:abstractNumId w:val="3"/>
  </w:num>
  <w:num w:numId="2">
    <w:abstractNumId w:val="2"/>
  </w:num>
  <w:num w:numId="3">
    <w:abstractNumId w:val="6"/>
  </w:num>
  <w:num w:numId="4">
    <w:abstractNumId w:val="0"/>
  </w:num>
  <w:num w:numId="5">
    <w:abstractNumId w:val="4"/>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000000"/>
    <w:rsid w:val="05791EDF"/>
    <w:rsid w:val="0DAD009E"/>
    <w:rsid w:val="18552337"/>
    <w:rsid w:val="21247FD1"/>
    <w:rsid w:val="244020ED"/>
    <w:rsid w:val="2D470F8A"/>
    <w:rsid w:val="2DE41C04"/>
    <w:rsid w:val="33474C5E"/>
    <w:rsid w:val="3EF764FF"/>
    <w:rsid w:val="42AB36E9"/>
    <w:rsid w:val="46C209E8"/>
    <w:rsid w:val="53F42D83"/>
    <w:rsid w:val="5E1F61AC"/>
    <w:rsid w:val="71B27028"/>
    <w:rsid w:val="7B65510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4">
    <w:name w:val="Default Paragraph Font"/>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1"/>
    <w:qFormat/>
    <w:uiPriority w:val="99"/>
    <w:pPr>
      <w:jc w:val="left"/>
    </w:pPr>
  </w:style>
  <w:style w:type="paragraph" w:styleId="7">
    <w:name w:val="Balloon Text"/>
    <w:basedOn w:val="1"/>
    <w:link w:val="23"/>
    <w:qFormat/>
    <w:uiPriority w:val="99"/>
    <w:rPr>
      <w:sz w:val="18"/>
      <w:szCs w:val="18"/>
    </w:rPr>
  </w:style>
  <w:style w:type="paragraph" w:styleId="8">
    <w:name w:val="footer"/>
    <w:basedOn w:val="1"/>
    <w:link w:val="18"/>
    <w:qFormat/>
    <w:uiPriority w:val="99"/>
    <w:pPr>
      <w:tabs>
        <w:tab w:val="center" w:pos="4153"/>
        <w:tab w:val="right" w:pos="8306"/>
      </w:tabs>
      <w:snapToGrid w:val="0"/>
      <w:jc w:val="left"/>
    </w:pPr>
    <w:rPr>
      <w:sz w:val="18"/>
      <w:szCs w:val="18"/>
    </w:rPr>
  </w:style>
  <w:style w:type="paragraph" w:styleId="9">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Normal (Web)"/>
    <w:basedOn w:val="1"/>
    <w:qFormat/>
    <w:uiPriority w:val="0"/>
    <w:pPr>
      <w:spacing w:beforeAutospacing="1" w:afterAutospacing="1"/>
      <w:jc w:val="left"/>
    </w:pPr>
    <w:rPr>
      <w:kern w:val="0"/>
      <w:sz w:val="24"/>
    </w:rPr>
  </w:style>
  <w:style w:type="paragraph" w:styleId="12">
    <w:name w:val="annotation subject"/>
    <w:basedOn w:val="6"/>
    <w:next w:val="6"/>
    <w:link w:val="22"/>
    <w:qFormat/>
    <w:uiPriority w:val="99"/>
    <w:rPr>
      <w:b/>
      <w:bCs/>
    </w:rPr>
  </w:style>
  <w:style w:type="character" w:styleId="15">
    <w:name w:val="page number"/>
    <w:qFormat/>
    <w:uiPriority w:val="0"/>
  </w:style>
  <w:style w:type="character" w:styleId="16">
    <w:name w:val="annotation reference"/>
    <w:basedOn w:val="14"/>
    <w:qFormat/>
    <w:uiPriority w:val="99"/>
    <w:rPr>
      <w:sz w:val="21"/>
      <w:szCs w:val="21"/>
    </w:rPr>
  </w:style>
  <w:style w:type="character" w:customStyle="1" w:styleId="17">
    <w:name w:val="页眉 Char"/>
    <w:basedOn w:val="14"/>
    <w:link w:val="9"/>
    <w:qFormat/>
    <w:uiPriority w:val="99"/>
    <w:rPr>
      <w:sz w:val="18"/>
      <w:szCs w:val="18"/>
    </w:rPr>
  </w:style>
  <w:style w:type="character" w:customStyle="1" w:styleId="18">
    <w:name w:val="页脚 Char"/>
    <w:basedOn w:val="14"/>
    <w:link w:val="8"/>
    <w:qFormat/>
    <w:uiPriority w:val="99"/>
    <w:rPr>
      <w:sz w:val="18"/>
      <w:szCs w:val="18"/>
    </w:rPr>
  </w:style>
  <w:style w:type="paragraph" w:customStyle="1" w:styleId="19">
    <w:name w:val="列出段落1"/>
    <w:basedOn w:val="1"/>
    <w:qFormat/>
    <w:uiPriority w:val="34"/>
    <w:pPr>
      <w:ind w:firstLine="420" w:firstLineChars="200"/>
    </w:pPr>
  </w:style>
  <w:style w:type="paragraph" w:styleId="20">
    <w:name w:val="List Paragraph"/>
    <w:basedOn w:val="1"/>
    <w:qFormat/>
    <w:uiPriority w:val="99"/>
    <w:pPr>
      <w:ind w:firstLine="420" w:firstLineChars="200"/>
    </w:pPr>
  </w:style>
  <w:style w:type="character" w:customStyle="1" w:styleId="21">
    <w:name w:val="批注文字 Char"/>
    <w:basedOn w:val="14"/>
    <w:link w:val="6"/>
    <w:qFormat/>
    <w:uiPriority w:val="99"/>
    <w:rPr>
      <w:kern w:val="2"/>
      <w:sz w:val="21"/>
      <w:szCs w:val="22"/>
    </w:rPr>
  </w:style>
  <w:style w:type="character" w:customStyle="1" w:styleId="22">
    <w:name w:val="批注主题 Char"/>
    <w:basedOn w:val="21"/>
    <w:link w:val="12"/>
    <w:qFormat/>
    <w:uiPriority w:val="99"/>
    <w:rPr>
      <w:b/>
      <w:bCs/>
    </w:rPr>
  </w:style>
  <w:style w:type="character" w:customStyle="1" w:styleId="23">
    <w:name w:val="批注框文本 Char"/>
    <w:basedOn w:val="14"/>
    <w:link w:val="7"/>
    <w:qFormat/>
    <w:uiPriority w:val="99"/>
    <w:rPr>
      <w:kern w:val="2"/>
      <w:sz w:val="18"/>
      <w:szCs w:val="18"/>
    </w:rPr>
  </w:style>
  <w:style w:type="character" w:customStyle="1" w:styleId="24">
    <w:name w:val="font41"/>
    <w:basedOn w:val="14"/>
    <w:qFormat/>
    <w:uiPriority w:val="0"/>
    <w:rPr>
      <w:rFonts w:hint="eastAsia" w:ascii="宋体" w:hAnsi="宋体" w:eastAsia="宋体" w:cs="宋体"/>
      <w:color w:val="000000"/>
      <w:sz w:val="24"/>
      <w:szCs w:val="24"/>
      <w:u w:val="none"/>
    </w:rPr>
  </w:style>
  <w:style w:type="character" w:customStyle="1" w:styleId="25">
    <w:name w:val="font11"/>
    <w:basedOn w:val="14"/>
    <w:qFormat/>
    <w:uiPriority w:val="0"/>
    <w:rPr>
      <w:rFonts w:hint="eastAsia" w:ascii="宋体" w:hAnsi="宋体" w:eastAsia="宋体" w:cs="宋体"/>
      <w:color w:val="000000"/>
      <w:sz w:val="24"/>
      <w:szCs w:val="24"/>
      <w:u w:val="none"/>
    </w:rPr>
  </w:style>
  <w:style w:type="character" w:customStyle="1" w:styleId="26">
    <w:name w:val="font81"/>
    <w:basedOn w:val="14"/>
    <w:qFormat/>
    <w:uiPriority w:val="0"/>
    <w:rPr>
      <w:rFonts w:hint="eastAsia" w:ascii="仿宋" w:hAnsi="仿宋" w:eastAsia="仿宋" w:cs="仿宋"/>
      <w:color w:val="000000"/>
      <w:sz w:val="28"/>
      <w:szCs w:val="28"/>
      <w:u w:val="none"/>
      <w:vertAlign w:val="superscript"/>
    </w:rPr>
  </w:style>
  <w:style w:type="character" w:customStyle="1" w:styleId="27">
    <w:name w:val="font71"/>
    <w:basedOn w:val="14"/>
    <w:qFormat/>
    <w:uiPriority w:val="0"/>
    <w:rPr>
      <w:rFonts w:hint="eastAsia" w:ascii="宋体" w:hAnsi="宋体" w:eastAsia="宋体" w:cs="宋体"/>
      <w:color w:val="000000"/>
      <w:sz w:val="22"/>
      <w:szCs w:val="22"/>
      <w:u w:val="none"/>
    </w:rPr>
  </w:style>
  <w:style w:type="character" w:customStyle="1" w:styleId="28">
    <w:name w:val="font51"/>
    <w:basedOn w:val="1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6165</Words>
  <Characters>6709</Characters>
  <Paragraphs>1745</Paragraphs>
  <TotalTime>5</TotalTime>
  <ScaleCrop>false</ScaleCrop>
  <LinksUpToDate>false</LinksUpToDate>
  <CharactersWithSpaces>6724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2022-09-30T07:07:55Z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282DCDC45A9243558D600F8250A495EF</vt:lpwstr>
  </property>
</Properties>
</file>