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8"/>
          <w:szCs w:val="38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8"/>
          <w:szCs w:val="38"/>
          <w:lang w:eastAsia="zh-CN"/>
        </w:rPr>
        <w:t>蚌埠市第一人民医院妇科耗材采购项目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rPr>
          <w:rStyle w:val="10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5"/>
          <w:szCs w:val="25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8"/>
          <w:szCs w:val="38"/>
          <w:lang w:eastAsia="zh-CN"/>
        </w:rPr>
        <w:t>变更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8"/>
          <w:szCs w:val="38"/>
        </w:rPr>
        <w:t>公告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right="0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各投标人：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40" w:lineRule="auto"/>
        <w:ind w:left="0" w:right="0" w:firstLine="516"/>
        <w:rPr>
          <w:rStyle w:val="10"/>
          <w:rFonts w:hint="default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Style w:val="10"/>
          <w:rFonts w:hint="eastAsia" w:ascii="宋体" w:hAnsi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蚌埠市第一人民医院妇科耗材采购项目2022年11月22日已发布公告招标公告，现</w:t>
      </w:r>
      <w:r>
        <w:rPr>
          <w:rStyle w:val="10"/>
          <w:rFonts w:hint="eastAsia" w:ascii="宋体" w:hAnsi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作出</w:t>
      </w:r>
      <w:r>
        <w:rPr>
          <w:rStyle w:val="10"/>
          <w:rFonts w:hint="eastAsia" w:ascii="宋体" w:hAnsi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以下</w:t>
      </w:r>
      <w:r>
        <w:rPr>
          <w:rStyle w:val="10"/>
          <w:rFonts w:hint="eastAsia" w:ascii="宋体" w:hAnsi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变更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：</w:t>
      </w:r>
    </w:p>
    <w:p>
      <w:pPr>
        <w:spacing w:line="460" w:lineRule="exact"/>
        <w:rPr>
          <w:rStyle w:val="10"/>
          <w:rFonts w:hint="eastAsia" w:ascii="宋体" w:hAnsi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Style w:val="10"/>
          <w:rFonts w:hint="eastAsia" w:ascii="宋体" w:hAnsi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原招标文件：第三章  采购需求  </w:t>
      </w:r>
    </w:p>
    <w:tbl>
      <w:tblPr>
        <w:tblStyle w:val="7"/>
        <w:tblW w:w="13775" w:type="dxa"/>
        <w:tblInd w:w="13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1745"/>
        <w:gridCol w:w="6828"/>
        <w:gridCol w:w="733"/>
        <w:gridCol w:w="629"/>
        <w:gridCol w:w="808"/>
        <w:gridCol w:w="1108"/>
        <w:gridCol w:w="136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3" w:hRule="atLeast"/>
        </w:trPr>
        <w:tc>
          <w:tcPr>
            <w:tcW w:w="561" w:type="dxa"/>
            <w:noWrap w:val="0"/>
            <w:vAlign w:val="top"/>
          </w:tcPr>
          <w:p>
            <w:pPr>
              <w:pStyle w:val="11"/>
              <w:spacing w:before="166"/>
              <w:ind w:left="40" w:right="1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1745" w:type="dxa"/>
            <w:noWrap w:val="0"/>
            <w:vAlign w:val="top"/>
          </w:tcPr>
          <w:p>
            <w:pPr>
              <w:pStyle w:val="11"/>
              <w:spacing w:before="166"/>
              <w:ind w:left="62" w:right="25"/>
              <w:jc w:val="center"/>
              <w:rPr>
                <w:sz w:val="28"/>
              </w:rPr>
            </w:pPr>
            <w:r>
              <w:rPr>
                <w:sz w:val="28"/>
              </w:rPr>
              <w:t>产品名称</w:t>
            </w:r>
          </w:p>
        </w:tc>
        <w:tc>
          <w:tcPr>
            <w:tcW w:w="6828" w:type="dxa"/>
            <w:noWrap w:val="0"/>
            <w:vAlign w:val="top"/>
          </w:tcPr>
          <w:p>
            <w:pPr>
              <w:pStyle w:val="11"/>
              <w:spacing w:before="166"/>
              <w:ind w:left="55" w:right="21"/>
              <w:jc w:val="center"/>
              <w:rPr>
                <w:sz w:val="28"/>
              </w:rPr>
            </w:pPr>
            <w:r>
              <w:rPr>
                <w:sz w:val="28"/>
              </w:rPr>
              <w:t>需求参数</w:t>
            </w:r>
          </w:p>
        </w:tc>
        <w:tc>
          <w:tcPr>
            <w:tcW w:w="733" w:type="dxa"/>
            <w:noWrap w:val="0"/>
            <w:vAlign w:val="top"/>
          </w:tcPr>
          <w:p>
            <w:pPr>
              <w:pStyle w:val="11"/>
              <w:spacing w:before="166"/>
              <w:ind w:left="138" w:right="105"/>
              <w:jc w:val="center"/>
              <w:rPr>
                <w:sz w:val="28"/>
              </w:rPr>
            </w:pPr>
            <w:r>
              <w:rPr>
                <w:sz w:val="28"/>
              </w:rPr>
              <w:t>国别</w:t>
            </w:r>
          </w:p>
        </w:tc>
        <w:tc>
          <w:tcPr>
            <w:tcW w:w="629" w:type="dxa"/>
            <w:noWrap w:val="0"/>
            <w:vAlign w:val="top"/>
          </w:tcPr>
          <w:p>
            <w:pPr>
              <w:pStyle w:val="11"/>
              <w:spacing w:before="166"/>
              <w:ind w:left="78" w:right="43"/>
              <w:jc w:val="center"/>
              <w:rPr>
                <w:sz w:val="28"/>
              </w:rPr>
            </w:pPr>
            <w:r>
              <w:rPr>
                <w:sz w:val="28"/>
              </w:rPr>
              <w:t>单位</w:t>
            </w:r>
          </w:p>
        </w:tc>
        <w:tc>
          <w:tcPr>
            <w:tcW w:w="808" w:type="dxa"/>
            <w:noWrap w:val="0"/>
            <w:vAlign w:val="top"/>
          </w:tcPr>
          <w:p>
            <w:pPr>
              <w:pStyle w:val="11"/>
              <w:spacing w:line="348" w:lineRule="exact"/>
              <w:ind w:left="202"/>
              <w:rPr>
                <w:sz w:val="28"/>
              </w:rPr>
            </w:pPr>
            <w:r>
              <w:rPr>
                <w:sz w:val="28"/>
              </w:rPr>
              <w:t>单价</w:t>
            </w:r>
          </w:p>
          <w:p>
            <w:pPr>
              <w:pStyle w:val="11"/>
              <w:spacing w:line="289" w:lineRule="exact"/>
              <w:ind w:left="63"/>
              <w:rPr>
                <w:sz w:val="28"/>
              </w:rPr>
            </w:pPr>
            <w:r>
              <w:rPr>
                <w:sz w:val="28"/>
              </w:rPr>
              <w:t>（元）</w:t>
            </w:r>
          </w:p>
        </w:tc>
        <w:tc>
          <w:tcPr>
            <w:tcW w:w="1108" w:type="dxa"/>
            <w:noWrap w:val="0"/>
            <w:vAlign w:val="top"/>
          </w:tcPr>
          <w:p>
            <w:pPr>
              <w:pStyle w:val="11"/>
              <w:spacing w:before="8" w:line="338" w:lineRule="exact"/>
              <w:ind w:left="100" w:right="62"/>
              <w:rPr>
                <w:sz w:val="28"/>
              </w:rPr>
            </w:pPr>
            <w:r>
              <w:rPr>
                <w:sz w:val="28"/>
              </w:rPr>
              <w:t>两年预计使用数量</w:t>
            </w:r>
          </w:p>
        </w:tc>
        <w:tc>
          <w:tcPr>
            <w:tcW w:w="1363" w:type="dxa"/>
            <w:noWrap w:val="0"/>
            <w:vAlign w:val="top"/>
          </w:tcPr>
          <w:p>
            <w:pPr>
              <w:pStyle w:val="11"/>
              <w:spacing w:before="166"/>
              <w:ind w:left="88" w:right="57"/>
              <w:jc w:val="center"/>
              <w:rPr>
                <w:sz w:val="28"/>
              </w:rPr>
            </w:pPr>
            <w:r>
              <w:rPr>
                <w:sz w:val="28"/>
              </w:rPr>
              <w:t>金额（元）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561" w:type="dxa"/>
            <w:noWrap w:val="0"/>
            <w:vAlign w:val="top"/>
          </w:tcPr>
          <w:p>
            <w:pPr>
              <w:pStyle w:val="11"/>
              <w:spacing w:before="4"/>
              <w:rPr>
                <w:sz w:val="34"/>
              </w:rPr>
            </w:pPr>
          </w:p>
          <w:p>
            <w:pPr>
              <w:pStyle w:val="11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尿道悬吊带</w:t>
            </w:r>
          </w:p>
        </w:tc>
        <w:tc>
          <w:tcPr>
            <w:tcW w:w="6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经环氧乙烷灭菌，一次性使用；11*340mm,网孔尺寸0.5um，厚度0.5mm，重量108g/m2,拉力强度 155N/1.3cm2,伸长率63%.(外带一次性使用手柄和钢针)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5700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61" w:type="dxa"/>
            <w:noWrap w:val="0"/>
            <w:vAlign w:val="top"/>
          </w:tcPr>
          <w:p>
            <w:pPr>
              <w:pStyle w:val="11"/>
              <w:spacing w:before="169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子宫颈扩张器</w:t>
            </w:r>
          </w:p>
        </w:tc>
        <w:tc>
          <w:tcPr>
            <w:tcW w:w="6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即子宫颈扩张棒（一次性海藻扩宫棒），材质:药用明胶；大于膨胀率200%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61" w:type="dxa"/>
            <w:noWrap w:val="0"/>
            <w:vAlign w:val="top"/>
          </w:tcPr>
          <w:p>
            <w:pPr>
              <w:pStyle w:val="11"/>
              <w:spacing w:before="142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宫腔镜下一次性使用输卵管导管</w:t>
            </w:r>
          </w:p>
        </w:tc>
        <w:tc>
          <w:tcPr>
            <w:tcW w:w="6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无菌产品，管径1.5mm/1.8mm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561" w:type="dxa"/>
            <w:noWrap w:val="0"/>
            <w:vAlign w:val="top"/>
          </w:tcPr>
          <w:p>
            <w:pPr>
              <w:pStyle w:val="11"/>
              <w:spacing w:before="169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一次性使用三角球囊子宫支架</w:t>
            </w:r>
          </w:p>
        </w:tc>
        <w:tc>
          <w:tcPr>
            <w:tcW w:w="6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球囊、导管硅橡胶制成，充盈止逆阀阀座，外壳树脂材料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561" w:type="dxa"/>
            <w:noWrap w:val="0"/>
            <w:vAlign w:val="top"/>
          </w:tcPr>
          <w:p>
            <w:pPr>
              <w:pStyle w:val="11"/>
              <w:spacing w:before="7"/>
              <w:rPr>
                <w:sz w:val="20"/>
              </w:rPr>
            </w:pPr>
          </w:p>
          <w:p>
            <w:pPr>
              <w:pStyle w:val="11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左炔诺孕酮宫内节育系统</w:t>
            </w:r>
          </w:p>
        </w:tc>
        <w:tc>
          <w:tcPr>
            <w:tcW w:w="6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含左炔诺孕酮52mg/个；左炔诺孕酮宫内节育系统被放置于宫腔内，可维持5年有效。体内溶解速率开始时约为20g/24h；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1300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4" w:hRule="atLeast"/>
        </w:trPr>
        <w:tc>
          <w:tcPr>
            <w:tcW w:w="561" w:type="dxa"/>
            <w:noWrap w:val="0"/>
            <w:vAlign w:val="top"/>
          </w:tcPr>
          <w:p>
            <w:pPr>
              <w:pStyle w:val="11"/>
              <w:rPr>
                <w:sz w:val="28"/>
              </w:rPr>
            </w:pPr>
          </w:p>
          <w:p>
            <w:pPr>
              <w:pStyle w:val="11"/>
              <w:spacing w:before="11"/>
              <w:rPr>
                <w:sz w:val="24"/>
              </w:rPr>
            </w:pPr>
          </w:p>
          <w:p>
            <w:pPr>
              <w:pStyle w:val="11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一次性使用子宫颈扩张球囊导管</w:t>
            </w:r>
          </w:p>
        </w:tc>
        <w:tc>
          <w:tcPr>
            <w:tcW w:w="6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；需环氧乙烷灭菌；宫颈扩张导管由导管、球囊、尖端、充盈止逆阀、Y型连接器和锁定环组成；导管、球囊、Y型连接器和尖端由硅胶制成；充盈止逆阀由苯乙烯-丁二烯-丙烯腈共聚物制成；锁定环由聚乙烯制成；规格型号：CDL-003-18F；需双腔导管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7" w:hRule="atLeast"/>
        </w:trPr>
        <w:tc>
          <w:tcPr>
            <w:tcW w:w="561" w:type="dxa"/>
            <w:noWrap w:val="0"/>
            <w:vAlign w:val="top"/>
          </w:tcPr>
          <w:p>
            <w:pPr>
              <w:pStyle w:val="11"/>
              <w:rPr>
                <w:sz w:val="28"/>
              </w:rPr>
            </w:pPr>
          </w:p>
          <w:p>
            <w:pPr>
              <w:pStyle w:val="11"/>
              <w:rPr>
                <w:sz w:val="28"/>
              </w:rPr>
            </w:pPr>
          </w:p>
          <w:p>
            <w:pPr>
              <w:pStyle w:val="11"/>
              <w:spacing w:before="5"/>
              <w:rPr>
                <w:sz w:val="24"/>
              </w:rPr>
            </w:pPr>
          </w:p>
          <w:p>
            <w:pPr>
              <w:pStyle w:val="11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一次性宫腔压迫球囊套件</w:t>
            </w:r>
          </w:p>
        </w:tc>
        <w:tc>
          <w:tcPr>
            <w:tcW w:w="68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宫腔压迫球囊套件由主套囊、副套囊、导向及引流管、主套囊充水管、控制阀、副套囊充水管和单向阀组成；囊体采用医用级硅橡胶材料注塑而成；管体采用医用级硅橡胶和不锈钢丝弹簧挤出而成;控制伐采用符合GB/T12672-2009标准的丙烯腈-丁二烯-苯乙烯树脂(ABS)和符合 GB/T12670-2008的聚丙烯(PP)材料制成；牵引套、引流袋、输水管中符合GB15593-1995的聚氯乙烯(PVC)材料制成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1500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15000</w:t>
            </w:r>
          </w:p>
        </w:tc>
      </w:tr>
    </w:tbl>
    <w:tbl>
      <w:tblPr>
        <w:tblStyle w:val="7"/>
        <w:tblpPr w:leftFromText="180" w:rightFromText="180" w:vertAnchor="text" w:horzAnchor="page" w:tblpX="1468" w:tblpY="23"/>
        <w:tblOverlap w:val="never"/>
        <w:tblW w:w="13852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1740"/>
        <w:gridCol w:w="6885"/>
        <w:gridCol w:w="885"/>
        <w:gridCol w:w="750"/>
        <w:gridCol w:w="1005"/>
        <w:gridCol w:w="630"/>
        <w:gridCol w:w="128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675" w:type="dxa"/>
            <w:noWrap w:val="0"/>
            <w:vAlign w:val="top"/>
          </w:tcPr>
          <w:p>
            <w:pPr>
              <w:pStyle w:val="11"/>
              <w:spacing w:before="11"/>
              <w:rPr>
                <w:sz w:val="35"/>
              </w:rPr>
            </w:pPr>
          </w:p>
          <w:p>
            <w:pPr>
              <w:pStyle w:val="11"/>
              <w:spacing w:before="1"/>
              <w:ind w:left="34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8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钛化聚丙烯盆底修补网</w:t>
            </w:r>
          </w:p>
        </w:tc>
        <w:tc>
          <w:tcPr>
            <w:tcW w:w="6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该产品一次性使用，经环氧乙烷灭；由聚丙烯单纤维丝和钛化物涂层构成；该产品适用于盆底组织的修复重建，阴道前后壁和阴道穹窿脱垂及脱垂合并病症；常用规格10*15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5800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675" w:type="dxa"/>
            <w:noWrap w:val="0"/>
            <w:vAlign w:val="top"/>
          </w:tcPr>
          <w:p>
            <w:pPr>
              <w:pStyle w:val="11"/>
              <w:spacing w:before="10"/>
              <w:rPr>
                <w:sz w:val="25"/>
              </w:rPr>
            </w:pPr>
          </w:p>
          <w:p>
            <w:pPr>
              <w:pStyle w:val="11"/>
              <w:ind w:left="39" w:right="1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9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一次性腔镜双极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电凝钳</w:t>
            </w:r>
          </w:p>
        </w:tc>
        <w:tc>
          <w:tcPr>
            <w:tcW w:w="6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钳头有单动和双动两种规格可选择；钳头有直头和弯头两种，方便不同手术操作；钳头的最大张开幅度为50°±20%，方便抓取组织；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450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960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432000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5" w:hRule="atLeast"/>
        </w:trPr>
        <w:tc>
          <w:tcPr>
            <w:tcW w:w="675" w:type="dxa"/>
            <w:noWrap w:val="0"/>
            <w:vAlign w:val="top"/>
          </w:tcPr>
          <w:p>
            <w:pPr>
              <w:pStyle w:val="11"/>
              <w:spacing w:before="141"/>
              <w:ind w:left="39" w:right="1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10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医用几丁糖</w:t>
            </w:r>
          </w:p>
        </w:tc>
        <w:tc>
          <w:tcPr>
            <w:tcW w:w="6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适用范围：1.普通外科、妇产科：适用于所有腹腔、盆腔手术，可预防术后肠粘连和盆腔粘连2、骨科：适用于所有肌腱、关节及神经手术，可预防肌腱、关节及神经粘连；常用规格2ml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297.5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148750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388" w:hRule="atLeast"/>
        </w:trPr>
        <w:tc>
          <w:tcPr>
            <w:tcW w:w="12570" w:type="dxa"/>
            <w:gridSpan w:val="7"/>
            <w:noWrap w:val="0"/>
            <w:vAlign w:val="top"/>
          </w:tcPr>
          <w:p>
            <w:pPr>
              <w:pStyle w:val="11"/>
              <w:spacing w:line="298" w:lineRule="exact"/>
              <w:ind w:left="5495" w:right="5458"/>
              <w:jc w:val="both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总计</w:t>
            </w:r>
          </w:p>
        </w:tc>
        <w:tc>
          <w:tcPr>
            <w:tcW w:w="1282" w:type="dxa"/>
            <w:noWrap w:val="0"/>
            <w:vAlign w:val="top"/>
          </w:tcPr>
          <w:p>
            <w:pPr>
              <w:pStyle w:val="11"/>
              <w:spacing w:line="298" w:lineRule="exact"/>
              <w:ind w:left="88" w:right="56"/>
              <w:jc w:val="center"/>
              <w:rPr>
                <w:rFonts w:hint="default"/>
                <w:sz w:val="28"/>
                <w:lang w:val="en-US"/>
              </w:rPr>
            </w:pPr>
            <w:r>
              <w:rPr>
                <w:rFonts w:hint="eastAsia"/>
                <w:sz w:val="28"/>
                <w:lang w:val="en-US" w:eastAsia="zh-CN"/>
              </w:rPr>
              <w:t>1416750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rStyle w:val="10"/>
          <w:rFonts w:hint="eastAsia" w:ascii="宋体" w:hAnsi="宋体" w:eastAsia="宋体" w:cs="宋体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Style w:val="10"/>
          <w:rFonts w:hint="eastAsia" w:ascii="宋体" w:hAnsi="宋体" w:eastAsia="宋体" w:cs="宋体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Style w:val="10"/>
          <w:rFonts w:hint="eastAsia" w:ascii="宋体" w:hAnsi="宋体" w:eastAsia="宋体" w:cs="宋体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  <w:t>现变更为：</w:t>
      </w:r>
    </w:p>
    <w:tbl>
      <w:tblPr>
        <w:tblStyle w:val="7"/>
        <w:tblW w:w="0" w:type="auto"/>
        <w:tblInd w:w="13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2021"/>
        <w:gridCol w:w="6526"/>
        <w:gridCol w:w="731"/>
        <w:gridCol w:w="628"/>
        <w:gridCol w:w="806"/>
        <w:gridCol w:w="1105"/>
        <w:gridCol w:w="135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560" w:type="dxa"/>
            <w:noWrap w:val="0"/>
            <w:vAlign w:val="top"/>
          </w:tcPr>
          <w:p>
            <w:pPr>
              <w:pStyle w:val="11"/>
              <w:spacing w:before="166"/>
              <w:ind w:left="40" w:right="1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2021" w:type="dxa"/>
            <w:noWrap w:val="0"/>
            <w:vAlign w:val="top"/>
          </w:tcPr>
          <w:p>
            <w:pPr>
              <w:pStyle w:val="11"/>
              <w:spacing w:before="166"/>
              <w:ind w:left="62" w:right="25"/>
              <w:jc w:val="center"/>
              <w:rPr>
                <w:sz w:val="28"/>
              </w:rPr>
            </w:pPr>
            <w:r>
              <w:rPr>
                <w:sz w:val="28"/>
              </w:rPr>
              <w:t>产品名称</w:t>
            </w:r>
          </w:p>
        </w:tc>
        <w:tc>
          <w:tcPr>
            <w:tcW w:w="6526" w:type="dxa"/>
            <w:noWrap w:val="0"/>
            <w:vAlign w:val="top"/>
          </w:tcPr>
          <w:p>
            <w:pPr>
              <w:pStyle w:val="11"/>
              <w:spacing w:before="166"/>
              <w:ind w:left="55" w:right="21"/>
              <w:jc w:val="center"/>
              <w:rPr>
                <w:sz w:val="28"/>
              </w:rPr>
            </w:pPr>
            <w:r>
              <w:rPr>
                <w:sz w:val="28"/>
              </w:rPr>
              <w:t>需求参数</w:t>
            </w:r>
          </w:p>
        </w:tc>
        <w:tc>
          <w:tcPr>
            <w:tcW w:w="731" w:type="dxa"/>
            <w:noWrap w:val="0"/>
            <w:vAlign w:val="top"/>
          </w:tcPr>
          <w:p>
            <w:pPr>
              <w:pStyle w:val="11"/>
              <w:spacing w:before="166"/>
              <w:ind w:left="138" w:right="105"/>
              <w:jc w:val="center"/>
              <w:rPr>
                <w:sz w:val="28"/>
              </w:rPr>
            </w:pPr>
            <w:r>
              <w:rPr>
                <w:sz w:val="28"/>
              </w:rPr>
              <w:t>国别</w:t>
            </w:r>
          </w:p>
        </w:tc>
        <w:tc>
          <w:tcPr>
            <w:tcW w:w="628" w:type="dxa"/>
            <w:noWrap w:val="0"/>
            <w:vAlign w:val="top"/>
          </w:tcPr>
          <w:p>
            <w:pPr>
              <w:pStyle w:val="11"/>
              <w:spacing w:before="166"/>
              <w:ind w:left="78" w:right="43"/>
              <w:jc w:val="center"/>
              <w:rPr>
                <w:sz w:val="28"/>
              </w:rPr>
            </w:pPr>
            <w:r>
              <w:rPr>
                <w:sz w:val="28"/>
              </w:rPr>
              <w:t>单位</w:t>
            </w:r>
          </w:p>
        </w:tc>
        <w:tc>
          <w:tcPr>
            <w:tcW w:w="806" w:type="dxa"/>
            <w:noWrap w:val="0"/>
            <w:vAlign w:val="top"/>
          </w:tcPr>
          <w:p>
            <w:pPr>
              <w:pStyle w:val="11"/>
              <w:spacing w:line="348" w:lineRule="exact"/>
              <w:ind w:left="202"/>
              <w:rPr>
                <w:sz w:val="28"/>
              </w:rPr>
            </w:pPr>
            <w:r>
              <w:rPr>
                <w:sz w:val="28"/>
              </w:rPr>
              <w:t>单价</w:t>
            </w:r>
          </w:p>
          <w:p>
            <w:pPr>
              <w:pStyle w:val="11"/>
              <w:spacing w:line="289" w:lineRule="exact"/>
              <w:ind w:left="63"/>
              <w:rPr>
                <w:sz w:val="28"/>
              </w:rPr>
            </w:pPr>
            <w:r>
              <w:rPr>
                <w:sz w:val="28"/>
              </w:rPr>
              <w:t>（元）</w:t>
            </w:r>
          </w:p>
        </w:tc>
        <w:tc>
          <w:tcPr>
            <w:tcW w:w="1105" w:type="dxa"/>
            <w:noWrap w:val="0"/>
            <w:vAlign w:val="top"/>
          </w:tcPr>
          <w:p>
            <w:pPr>
              <w:pStyle w:val="11"/>
              <w:spacing w:before="8" w:line="338" w:lineRule="exact"/>
              <w:ind w:left="100" w:right="62"/>
              <w:rPr>
                <w:sz w:val="28"/>
              </w:rPr>
            </w:pPr>
            <w:r>
              <w:rPr>
                <w:sz w:val="28"/>
              </w:rPr>
              <w:t>两年预计使用数量</w:t>
            </w:r>
          </w:p>
        </w:tc>
        <w:tc>
          <w:tcPr>
            <w:tcW w:w="1359" w:type="dxa"/>
            <w:noWrap w:val="0"/>
            <w:vAlign w:val="top"/>
          </w:tcPr>
          <w:p>
            <w:pPr>
              <w:pStyle w:val="11"/>
              <w:spacing w:before="166"/>
              <w:ind w:left="88" w:right="57"/>
              <w:jc w:val="center"/>
              <w:rPr>
                <w:sz w:val="28"/>
              </w:rPr>
            </w:pPr>
            <w:r>
              <w:rPr>
                <w:sz w:val="28"/>
              </w:rPr>
              <w:t>金额（元）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</w:trPr>
        <w:tc>
          <w:tcPr>
            <w:tcW w:w="560" w:type="dxa"/>
            <w:noWrap w:val="0"/>
            <w:vAlign w:val="top"/>
          </w:tcPr>
          <w:p>
            <w:pPr>
              <w:pStyle w:val="11"/>
              <w:spacing w:before="4"/>
              <w:rPr>
                <w:sz w:val="34"/>
              </w:rPr>
            </w:pPr>
          </w:p>
          <w:p>
            <w:pPr>
              <w:pStyle w:val="11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0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尿道悬吊带</w:t>
            </w:r>
          </w:p>
        </w:tc>
        <w:tc>
          <w:tcPr>
            <w:tcW w:w="6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经环氧乙烷灭菌，一次性使用；11*340mm,网孔尺寸0.5um，厚度0.5mm，重量108g/m2,拉力强度 155N/1.3cm2,伸长率63%.(外带一次性使用手柄和钢针)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5700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560" w:type="dxa"/>
            <w:noWrap w:val="0"/>
            <w:vAlign w:val="top"/>
          </w:tcPr>
          <w:p>
            <w:pPr>
              <w:pStyle w:val="11"/>
              <w:spacing w:before="169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0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子宫颈扩张器</w:t>
            </w:r>
          </w:p>
        </w:tc>
        <w:tc>
          <w:tcPr>
            <w:tcW w:w="6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即子宫颈扩张棒（一次性海藻扩宫棒），材质:药用明胶；大于膨胀率200%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560" w:type="dxa"/>
            <w:noWrap w:val="0"/>
            <w:vAlign w:val="top"/>
          </w:tcPr>
          <w:p>
            <w:pPr>
              <w:pStyle w:val="11"/>
              <w:spacing w:before="142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0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宫腔镜下一次性使用输卵管导管</w:t>
            </w:r>
          </w:p>
        </w:tc>
        <w:tc>
          <w:tcPr>
            <w:tcW w:w="6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无菌产品，管径1.5mm/1.8mm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1" w:hRule="atLeast"/>
        </w:trPr>
        <w:tc>
          <w:tcPr>
            <w:tcW w:w="560" w:type="dxa"/>
            <w:noWrap w:val="0"/>
            <w:vAlign w:val="top"/>
          </w:tcPr>
          <w:p>
            <w:pPr>
              <w:pStyle w:val="11"/>
              <w:spacing w:before="169"/>
              <w:ind w:left="3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0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一次性使用三角球囊子宫支架</w:t>
            </w:r>
          </w:p>
        </w:tc>
        <w:tc>
          <w:tcPr>
            <w:tcW w:w="6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球囊、导管硅橡胶制成，充盈止逆阀阀座，外壳树脂材料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1400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5" w:hRule="atLeast"/>
        </w:trPr>
        <w:tc>
          <w:tcPr>
            <w:tcW w:w="560" w:type="dxa"/>
            <w:noWrap w:val="0"/>
            <w:vAlign w:val="top"/>
          </w:tcPr>
          <w:p>
            <w:pPr>
              <w:pStyle w:val="11"/>
              <w:rPr>
                <w:sz w:val="28"/>
              </w:rPr>
            </w:pPr>
          </w:p>
          <w:p>
            <w:pPr>
              <w:pStyle w:val="11"/>
              <w:spacing w:before="11"/>
              <w:rPr>
                <w:sz w:val="24"/>
              </w:rPr>
            </w:pPr>
          </w:p>
          <w:p>
            <w:pPr>
              <w:pStyle w:val="11"/>
              <w:ind w:left="34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5</w:t>
            </w:r>
          </w:p>
        </w:tc>
        <w:tc>
          <w:tcPr>
            <w:tcW w:w="20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一次性使用子宫颈扩张球囊导管</w:t>
            </w:r>
          </w:p>
        </w:tc>
        <w:tc>
          <w:tcPr>
            <w:tcW w:w="6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；需环氧乙烷灭菌；宫颈扩张导管由导管、球囊、尖端、充盈止逆阀、Y型连接器和锁定环组成；导管、球囊、Y型连接器和尖端由硅胶制成；充盈止逆阀由苯乙烯-丁二烯-丙烯腈共聚物制成；锁定环由聚乙烯制成；规格型号：CDL-003-18F；需双腔导管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7" w:hRule="atLeast"/>
        </w:trPr>
        <w:tc>
          <w:tcPr>
            <w:tcW w:w="560" w:type="dxa"/>
            <w:noWrap w:val="0"/>
            <w:vAlign w:val="top"/>
          </w:tcPr>
          <w:p>
            <w:pPr>
              <w:pStyle w:val="11"/>
              <w:rPr>
                <w:sz w:val="28"/>
              </w:rPr>
            </w:pPr>
          </w:p>
          <w:p>
            <w:pPr>
              <w:pStyle w:val="11"/>
              <w:rPr>
                <w:sz w:val="28"/>
              </w:rPr>
            </w:pPr>
          </w:p>
          <w:p>
            <w:pPr>
              <w:pStyle w:val="11"/>
              <w:spacing w:before="5"/>
              <w:rPr>
                <w:sz w:val="24"/>
              </w:rPr>
            </w:pPr>
          </w:p>
          <w:p>
            <w:pPr>
              <w:pStyle w:val="11"/>
              <w:ind w:left="34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6</w:t>
            </w:r>
          </w:p>
        </w:tc>
        <w:tc>
          <w:tcPr>
            <w:tcW w:w="20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一次性宫腔压迫球囊套件</w:t>
            </w:r>
          </w:p>
        </w:tc>
        <w:tc>
          <w:tcPr>
            <w:tcW w:w="65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宫腔压迫球囊套件由主套囊、副套囊、导向及引流管、主套囊充水管、控制阀、副套囊充水管和单向阀组成；囊体采用医用级硅橡胶材料注塑而成；管体采用医用级硅橡胶和不锈钢丝弹簧挤出而成;控制伐采用符合GB/T12672-2009标准的丙烯腈-丁二烯-苯乙烯树脂(ABS)和符合 GB/T12670-2008的聚丙烯(PP)材料制成；牵引套、引流袋、输水管中符合GB15593-1995的聚氯乙烯(PVC)材料制成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1500</w:t>
            </w:r>
          </w:p>
        </w:tc>
        <w:tc>
          <w:tcPr>
            <w:tcW w:w="11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15000</w:t>
            </w:r>
          </w:p>
        </w:tc>
      </w:tr>
    </w:tbl>
    <w:tbl>
      <w:tblPr>
        <w:tblStyle w:val="7"/>
        <w:tblpPr w:leftFromText="180" w:rightFromText="180" w:vertAnchor="text" w:horzAnchor="page" w:tblpX="1573" w:tblpY="23"/>
        <w:tblOverlap w:val="never"/>
        <w:tblW w:w="1375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2055"/>
        <w:gridCol w:w="6525"/>
        <w:gridCol w:w="690"/>
        <w:gridCol w:w="705"/>
        <w:gridCol w:w="720"/>
        <w:gridCol w:w="1125"/>
        <w:gridCol w:w="138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555" w:type="dxa"/>
            <w:noWrap w:val="0"/>
            <w:vAlign w:val="top"/>
          </w:tcPr>
          <w:p>
            <w:pPr>
              <w:pStyle w:val="11"/>
              <w:spacing w:before="11"/>
              <w:rPr>
                <w:sz w:val="35"/>
              </w:rPr>
            </w:pPr>
          </w:p>
          <w:p>
            <w:pPr>
              <w:pStyle w:val="11"/>
              <w:spacing w:before="1"/>
              <w:ind w:left="34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7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钛化聚丙烯盆底修补网</w:t>
            </w:r>
          </w:p>
        </w:tc>
        <w:tc>
          <w:tcPr>
            <w:tcW w:w="6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该产品一次性使用，经环氧乙烷灭；由聚丙烯单纤维丝和钛化物涂层构成；该产品适用于盆底组织的修复重建，阴道前后壁和阴道穹窿脱垂及脱垂合并病症；常用规格10*15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5800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555" w:type="dxa"/>
            <w:noWrap w:val="0"/>
            <w:vAlign w:val="top"/>
          </w:tcPr>
          <w:p>
            <w:pPr>
              <w:pStyle w:val="11"/>
              <w:spacing w:before="10"/>
              <w:rPr>
                <w:sz w:val="25"/>
              </w:rPr>
            </w:pPr>
          </w:p>
          <w:p>
            <w:pPr>
              <w:pStyle w:val="11"/>
              <w:ind w:left="39" w:right="1"/>
              <w:jc w:val="center"/>
              <w:rPr>
                <w:rFonts w:hint="eastAsia" w:eastAsia="宋体"/>
                <w:sz w:val="28"/>
                <w:lang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8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一次性腔镜双极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电凝钳</w:t>
            </w:r>
          </w:p>
        </w:tc>
        <w:tc>
          <w:tcPr>
            <w:tcW w:w="6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钳头有单动和双动两种规格可选择；钳头有直头和弯头两种，方便不同手术操作；钳头的最大张开幅度为50°±20%，方便抓取组织；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进口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450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960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432000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555" w:type="dxa"/>
            <w:noWrap w:val="0"/>
            <w:vAlign w:val="top"/>
          </w:tcPr>
          <w:p>
            <w:pPr>
              <w:pStyle w:val="11"/>
              <w:spacing w:before="141"/>
              <w:ind w:left="39" w:right="1"/>
              <w:jc w:val="center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9</w:t>
            </w:r>
          </w:p>
        </w:tc>
        <w:tc>
          <w:tcPr>
            <w:tcW w:w="205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医用几丁糖</w:t>
            </w:r>
          </w:p>
        </w:tc>
        <w:tc>
          <w:tcPr>
            <w:tcW w:w="65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适用范围：1.普通外科、妇产科：适用于所有腹腔、盆腔手术，可预防术后肠粘连和盆腔粘连2、骨科：适用于所有肌腱、关节及神经手术，可预防肌腱、关节及神经粘连；常用规格2ml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国产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297.5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148750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2375" w:type="dxa"/>
            <w:gridSpan w:val="7"/>
            <w:noWrap w:val="0"/>
            <w:vAlign w:val="top"/>
          </w:tcPr>
          <w:p>
            <w:pPr>
              <w:pStyle w:val="11"/>
              <w:spacing w:line="298" w:lineRule="exact"/>
              <w:ind w:left="5495" w:right="5458"/>
              <w:jc w:val="both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总计</w:t>
            </w:r>
          </w:p>
        </w:tc>
        <w:tc>
          <w:tcPr>
            <w:tcW w:w="1380" w:type="dxa"/>
            <w:noWrap w:val="0"/>
            <w:vAlign w:val="top"/>
          </w:tcPr>
          <w:p>
            <w:pPr>
              <w:pStyle w:val="11"/>
              <w:spacing w:line="298" w:lineRule="exact"/>
              <w:ind w:left="88" w:right="56"/>
              <w:jc w:val="center"/>
              <w:rPr>
                <w:rFonts w:hint="default"/>
                <w:sz w:val="28"/>
                <w:lang w:val="en-US"/>
              </w:rPr>
            </w:pPr>
            <w:r>
              <w:rPr>
                <w:rFonts w:hint="eastAsia"/>
                <w:sz w:val="28"/>
                <w:lang w:val="en-US" w:eastAsia="zh-CN"/>
              </w:rPr>
              <w:t>1156750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spacing w:line="460" w:lineRule="exact"/>
        <w:ind w:firstLine="562" w:firstLineChars="200"/>
        <w:rPr>
          <w:rStyle w:val="10"/>
          <w:rFonts w:hint="eastAsia" w:ascii="宋体" w:hAnsi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Style w:val="10"/>
          <w:rFonts w:hint="eastAsia" w:ascii="宋体" w:hAnsi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原招标文件：</w:t>
      </w:r>
    </w:p>
    <w:p>
      <w:pPr>
        <w:numPr>
          <w:ilvl w:val="0"/>
          <w:numId w:val="1"/>
        </w:numPr>
        <w:spacing w:line="460" w:lineRule="exact"/>
        <w:ind w:firstLine="562" w:firstLineChars="200"/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Style w:val="10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招标项目名称及内容：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3、项目预算：1416750元；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</w:p>
    <w:p>
      <w:pPr>
        <w:pStyle w:val="2"/>
        <w:numPr>
          <w:numId w:val="0"/>
        </w:numPr>
        <w:ind w:leftChars="400"/>
        <w:rPr>
          <w:rFonts w:hint="eastAsia"/>
          <w:lang w:val="en-US" w:eastAsia="zh-CN"/>
        </w:rPr>
      </w:pPr>
    </w:p>
    <w:p>
      <w:pPr>
        <w:pStyle w:val="2"/>
        <w:ind w:left="0" w:leftChars="0" w:firstLine="562" w:firstLineChars="200"/>
        <w:rPr>
          <w:rStyle w:val="10"/>
          <w:rFonts w:hint="eastAsia" w:ascii="宋体" w:hAnsi="宋体" w:eastAsia="宋体" w:cs="宋体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bCs w:val="0"/>
          <w:i w:val="0"/>
          <w:iCs w:val="0"/>
          <w:caps w:val="0"/>
          <w:color w:val="333333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  <w:t>现变更为：</w:t>
      </w:r>
    </w:p>
    <w:p>
      <w:pPr>
        <w:pStyle w:val="2"/>
        <w:ind w:left="0" w:leftChars="0" w:firstLine="562" w:firstLineChars="200"/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Style w:val="10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一、招标项</w:t>
      </w:r>
      <w:bookmarkStart w:id="0" w:name="_GoBack"/>
      <w:bookmarkEnd w:id="0"/>
      <w:r>
        <w:rPr>
          <w:rStyle w:val="10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目名称及内容：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3、项目预算：1156750元；</w:t>
      </w:r>
    </w:p>
    <w:p>
      <w:pPr>
        <w:spacing w:line="460" w:lineRule="exact"/>
        <w:ind w:firstLine="560" w:firstLineChars="200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招标文件中涉及以上内容的一并变更，以本次公告为准，招标文件其他条款不变</w:t>
      </w:r>
      <w:r>
        <w:rPr>
          <w:rStyle w:val="10"/>
          <w:rFonts w:hint="eastAsia" w:ascii="宋体" w:hAnsi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，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特此公告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4" w:lineRule="atLeast"/>
        <w:ind w:left="0" w:right="0" w:firstLine="0"/>
        <w:jc w:val="right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5"/>
          <w:szCs w:val="25"/>
        </w:rPr>
        <w:t>             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4" w:lineRule="atLeast"/>
        <w:ind w:left="0" w:right="0" w:firstLine="0"/>
        <w:jc w:val="right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5"/>
          <w:szCs w:val="25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4" w:lineRule="atLeast"/>
        <w:ind w:left="0" w:right="0" w:firstLine="0"/>
        <w:jc w:val="right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 蚌埠市第</w:t>
      </w:r>
      <w:r>
        <w:rPr>
          <w:rFonts w:hint="eastAsia" w:ascii="宋体" w:hAnsi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人民医院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4" w:lineRule="atLeast"/>
        <w:ind w:left="0" w:right="0" w:firstLine="0"/>
        <w:jc w:val="right"/>
        <w:textAlignment w:val="auto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           安徽省志成建设工程咨询股份有限公司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4" w:lineRule="atLeast"/>
        <w:ind w:left="0" w:right="0" w:firstLine="0"/>
        <w:jc w:val="right"/>
        <w:textAlignment w:val="auto"/>
      </w:pP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       2022年</w:t>
      </w:r>
      <w:r>
        <w:rPr>
          <w:rStyle w:val="10"/>
          <w:rFonts w:hint="eastAsia" w:ascii="宋体" w:hAnsi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11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月</w:t>
      </w:r>
      <w:r>
        <w:rPr>
          <w:rStyle w:val="10"/>
          <w:rFonts w:hint="eastAsia" w:ascii="宋体" w:hAnsi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28</w:t>
      </w:r>
      <w:r>
        <w:rPr>
          <w:rStyle w:val="10"/>
          <w:rFonts w:hint="eastAsia" w:ascii="宋体" w:hAnsi="宋体" w:eastAsia="宋体" w:cs="宋体"/>
          <w:b w:val="0"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3BD65D"/>
    <w:multiLevelType w:val="singleLevel"/>
    <w:tmpl w:val="983BD6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hZTljMTNiZjRiMGNlYzk0MzU2MGE3MTVkMzExZDMifQ=="/>
  </w:docVars>
  <w:rsids>
    <w:rsidRoot w:val="00000000"/>
    <w:rsid w:val="018C3275"/>
    <w:rsid w:val="02FA08EB"/>
    <w:rsid w:val="03590E41"/>
    <w:rsid w:val="03DD7972"/>
    <w:rsid w:val="05416A08"/>
    <w:rsid w:val="082C0DF0"/>
    <w:rsid w:val="0A41455C"/>
    <w:rsid w:val="0AFB71A8"/>
    <w:rsid w:val="10F22B45"/>
    <w:rsid w:val="13DB5A9E"/>
    <w:rsid w:val="14C173FE"/>
    <w:rsid w:val="16D36F75"/>
    <w:rsid w:val="20A200E4"/>
    <w:rsid w:val="2B9A7473"/>
    <w:rsid w:val="2C6A189E"/>
    <w:rsid w:val="2E624308"/>
    <w:rsid w:val="2EAA3931"/>
    <w:rsid w:val="31AF2660"/>
    <w:rsid w:val="37BD4402"/>
    <w:rsid w:val="3BA17466"/>
    <w:rsid w:val="3E216694"/>
    <w:rsid w:val="42721817"/>
    <w:rsid w:val="449F6565"/>
    <w:rsid w:val="50D77B27"/>
    <w:rsid w:val="52706D60"/>
    <w:rsid w:val="567721CE"/>
    <w:rsid w:val="6AF92301"/>
    <w:rsid w:val="6BCC170B"/>
    <w:rsid w:val="6CD209D6"/>
    <w:rsid w:val="704C6A44"/>
    <w:rsid w:val="76C83E8B"/>
    <w:rsid w:val="7D5B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after="12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 w:cs="Arial"/>
      <w:color w:val="auto"/>
      <w:sz w:val="21"/>
    </w:rPr>
  </w:style>
  <w:style w:type="paragraph" w:styleId="5">
    <w:name w:val="annotation text"/>
    <w:basedOn w:val="1"/>
    <w:uiPriority w:val="0"/>
    <w:pPr>
      <w:jc w:val="left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8">
    <w:name w:val="Table Grid"/>
    <w:basedOn w:val="7"/>
    <w:unhideWhenUsed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1083</Words>
  <Characters>1278</Characters>
  <Paragraphs>12</Paragraphs>
  <TotalTime>2</TotalTime>
  <ScaleCrop>false</ScaleCrop>
  <LinksUpToDate>false</LinksUpToDate>
  <CharactersWithSpaces>1316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2022-03-21T08:26:00Z</dcterms:created>
  <dc:creator>ZHY</dc:creator>
  <cp:lastModifiedBy>Administrator</cp:lastModifiedBy>
  <dcterms:modified xsi:type="dcterms:W3CDTF">2022-11-28T06:40:38Z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2B29367CC6FD43069F8EE1F011FF4DAC</vt:lpwstr>
  </property>
</Properties>
</file>