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pStyle w:val="3"/>
        <w:numPr>
          <w:ilvl w:val="0"/>
          <w:numId w:val="0"/>
        </w:numPr>
        <w:ind w:left="425"/>
        <w:jc w:val="center"/>
        <w:rPr>
          <w:sz w:val="44"/>
          <w:szCs w:val="44"/>
        </w:rPr>
      </w:pPr>
      <w:r>
        <w:rPr>
          <w:rFonts w:hint="eastAsia"/>
          <w:sz w:val="44"/>
          <w:szCs w:val="44"/>
        </w:rPr>
        <w:t>蚌埠市第一人民医院和禹会分院病床及床头柜采购</w:t>
      </w:r>
      <w:r>
        <w:rPr>
          <w:rFonts w:hint="eastAsia"/>
          <w:sz w:val="44"/>
          <w:szCs w:val="44"/>
          <w:lang w:val="en-US" w:eastAsia="zh-CN"/>
        </w:rPr>
        <w:t>及安装</w:t>
      </w:r>
      <w:r>
        <w:rPr>
          <w:rFonts w:hint="eastAsia"/>
          <w:sz w:val="44"/>
          <w:szCs w:val="44"/>
        </w:rPr>
        <w:t>项目</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1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4</w:t>
      </w:r>
      <w:r>
        <w:rPr>
          <w:rFonts w:hint="eastAsia" w:ascii="宋体" w:hAnsi="宋体" w:cs="宋体"/>
          <w:sz w:val="28"/>
          <w:szCs w:val="28"/>
          <w:u w:val="single"/>
        </w:rPr>
        <w:t>月</w:t>
      </w:r>
      <w:r>
        <w:rPr>
          <w:rFonts w:hint="eastAsia" w:ascii="宋体" w:hAnsi="宋体" w:cs="宋体"/>
          <w:sz w:val="28"/>
          <w:szCs w:val="28"/>
          <w:u w:val="single"/>
          <w:lang w:val="en-US" w:eastAsia="zh-CN"/>
        </w:rPr>
        <w:t>3</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2"/>
        <w:rPr>
          <w:kern w:val="0"/>
          <w:shd w:val="clear" w:color="auto" w:fill="FFFFFF"/>
        </w:rPr>
      </w:pPr>
    </w:p>
    <w:p/>
    <w:p>
      <w:pPr>
        <w:pStyle w:val="12"/>
        <w:rPr>
          <w:kern w:val="0"/>
          <w:shd w:val="clear" w:color="auto" w:fill="FFFFFF"/>
        </w:rPr>
      </w:pPr>
    </w:p>
    <w:p>
      <w:pPr>
        <w:pStyle w:val="12"/>
        <w:rPr>
          <w:kern w:val="0"/>
          <w:shd w:val="clear" w:color="auto" w:fill="FFFFFF"/>
        </w:rPr>
      </w:pPr>
    </w:p>
    <w:p>
      <w:pPr>
        <w:pStyle w:val="12"/>
        <w:rPr>
          <w:kern w:val="0"/>
          <w:shd w:val="clear" w:color="auto" w:fill="FFFFFF"/>
        </w:rPr>
      </w:pPr>
    </w:p>
    <w:p>
      <w:pPr>
        <w:pStyle w:val="12"/>
        <w:rPr>
          <w:kern w:val="0"/>
          <w:shd w:val="clear" w:color="auto" w:fill="FFFFFF"/>
        </w:rPr>
      </w:pPr>
    </w:p>
    <w:p>
      <w:pPr>
        <w:rPr>
          <w:kern w:val="0"/>
          <w:shd w:val="clear" w:color="auto" w:fill="FFFFFF"/>
        </w:rPr>
      </w:pPr>
    </w:p>
    <w:p>
      <w:pPr>
        <w:pStyle w:val="12"/>
        <w:rPr>
          <w:kern w:val="0"/>
          <w:shd w:val="clear" w:color="auto" w:fill="FFFFFF"/>
        </w:rPr>
      </w:pPr>
    </w:p>
    <w:p/>
    <w:p>
      <w:pPr>
        <w:pStyle w:val="12"/>
        <w:rPr>
          <w:kern w:val="0"/>
          <w:shd w:val="clear" w:color="auto" w:fill="FFFFFF"/>
        </w:rPr>
      </w:pPr>
    </w:p>
    <w:p>
      <w:pPr>
        <w:pStyle w:val="12"/>
        <w:rPr>
          <w:kern w:val="0"/>
          <w:shd w:val="clear" w:color="auto" w:fill="FFFFFF"/>
        </w:rPr>
      </w:pPr>
    </w:p>
    <w:p>
      <w:pPr>
        <w:widowControl/>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lang w:val="en-US" w:eastAsia="zh-CN"/>
        </w:rPr>
        <w:t>1、</w:t>
      </w:r>
      <w:r>
        <w:rPr>
          <w:rFonts w:hint="eastAsia" w:ascii="宋体" w:hAnsi="宋体" w:cs="宋体"/>
          <w:kern w:val="0"/>
          <w:sz w:val="24"/>
          <w:szCs w:val="24"/>
          <w:shd w:val="clear" w:color="auto" w:fill="FFFFFF"/>
        </w:rPr>
        <w:t>项目名称：蚌埠市第一人民医院和禹会分院病床及床头柜采购及安装项目</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4、项目编号：ZCGF-BBYY-2023026</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5、主要内容：蚌埠市第一人民医院和禹会分院病床及床头柜采购及安装项目，具体详见采购需求。</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6、采购预算： 48.4万元</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w:t>
      </w:r>
      <w:r>
        <w:rPr>
          <w:rFonts w:hint="eastAsia" w:ascii="宋体" w:hAnsi="宋体" w:cs="宋体"/>
          <w:color w:val="auto"/>
          <w:kern w:val="0"/>
          <w:sz w:val="24"/>
          <w:szCs w:val="24"/>
          <w:shd w:val="clear" w:color="auto" w:fill="FFFFFF"/>
          <w:lang w:val="zh-CN" w:eastAsia="zh-CN"/>
        </w:rPr>
        <w:t>质保期</w:t>
      </w:r>
      <w:r>
        <w:rPr>
          <w:rFonts w:hint="eastAsia" w:ascii="宋体" w:hAnsi="宋体" w:cs="宋体"/>
          <w:color w:val="auto"/>
          <w:kern w:val="0"/>
          <w:sz w:val="24"/>
          <w:szCs w:val="24"/>
          <w:shd w:val="clear" w:color="auto" w:fill="FFFFFF"/>
          <w:lang w:val="en-US" w:eastAsia="zh-CN"/>
        </w:rPr>
        <w:t>：整体质保三年</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8、供货安装地点：免费送货至采购人指定地点；</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9、供货期：国产设备15天。</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10、拟采用的评审方法：</w:t>
      </w:r>
      <w:bookmarkStart w:id="0" w:name="_GoBack"/>
      <w:r>
        <w:rPr>
          <w:rFonts w:hint="eastAsia" w:ascii="宋体" w:hAnsi="宋体" w:cs="宋体"/>
          <w:color w:val="auto"/>
          <w:kern w:val="0"/>
          <w:sz w:val="24"/>
          <w:szCs w:val="24"/>
          <w:shd w:val="clear" w:color="auto" w:fill="FFFFFF"/>
          <w:lang w:val="en-US" w:eastAsia="zh-CN"/>
        </w:rPr>
        <w:t>综合评分法</w:t>
      </w:r>
      <w:bookmarkEnd w:id="0"/>
      <w:r>
        <w:rPr>
          <w:rFonts w:hint="eastAsia" w:ascii="宋体" w:hAnsi="宋体" w:cs="宋体"/>
          <w:color w:val="auto"/>
          <w:kern w:val="0"/>
          <w:sz w:val="24"/>
          <w:szCs w:val="24"/>
          <w:shd w:val="clear" w:color="auto" w:fill="FFFFFF"/>
          <w:lang w:val="en-US" w:eastAsia="zh-CN"/>
        </w:rPr>
        <w:t>；</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11、付款方式：设备安装、调试、验收合格后凭开具的正规发票及验收合格入库单付50%，三个月付40%，10%作为质保金质保期满且设备无故障后支付。</w:t>
      </w:r>
    </w:p>
    <w:p>
      <w:pPr>
        <w:pStyle w:val="10"/>
        <w:widowControl/>
        <w:shd w:val="clear" w:color="auto" w:fill="FFFFFF"/>
        <w:spacing w:beforeAutospacing="0" w:afterAutospacing="0" w:line="360" w:lineRule="auto"/>
        <w:rPr>
          <w:rFonts w:ascii="宋体" w:hAnsi="宋体" w:cs="宋体"/>
          <w:szCs w:val="24"/>
          <w:highlight w:val="none"/>
          <w:shd w:val="clear" w:color="auto" w:fill="FFFFFF"/>
        </w:rPr>
      </w:pPr>
      <w:r>
        <w:rPr>
          <w:rFonts w:hint="eastAsia" w:ascii="宋体" w:hAnsi="宋体" w:cs="宋体"/>
          <w:szCs w:val="24"/>
          <w:highlight w:val="none"/>
          <w:shd w:val="clear" w:color="auto" w:fill="FFFFFF"/>
        </w:rPr>
        <w:t>13、</w:t>
      </w:r>
      <w:r>
        <w:rPr>
          <w:rFonts w:hint="eastAsia" w:ascii="宋体" w:hAnsi="宋体" w:cs="宋体"/>
          <w:szCs w:val="24"/>
          <w:highlight w:val="none"/>
          <w:shd w:val="clear" w:color="auto" w:fill="FFFFFF"/>
          <w:lang w:val="en-US" w:eastAsia="zh-CN"/>
        </w:rPr>
        <w:t>投标单位</w:t>
      </w:r>
      <w:r>
        <w:rPr>
          <w:rFonts w:hint="eastAsia" w:ascii="宋体" w:hAnsi="宋体" w:cs="宋体"/>
          <w:szCs w:val="24"/>
          <w:highlight w:val="none"/>
          <w:shd w:val="clear" w:color="auto" w:fill="FFFFFF"/>
        </w:rPr>
        <w:t>资格或特别要求：</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1.满足《中华人民共和国政府采购法》第二十二条规定；</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2</w:t>
      </w:r>
      <w:r>
        <w:rPr>
          <w:rFonts w:hint="eastAsia" w:ascii="宋体" w:hAnsi="宋体"/>
          <w:sz w:val="24"/>
          <w:szCs w:val="28"/>
          <w:highlight w:val="none"/>
        </w:rPr>
        <w:t>.落实政府采购政策需满足的资格要求：无</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 xml:space="preserve">3.本项目的特定资格要求： </w:t>
      </w:r>
    </w:p>
    <w:p>
      <w:pPr>
        <w:autoSpaceDE w:val="0"/>
        <w:autoSpaceDN w:val="0"/>
        <w:adjustRightInd w:val="0"/>
        <w:spacing w:line="360" w:lineRule="auto"/>
        <w:jc w:val="left"/>
        <w:rPr>
          <w:rFonts w:hint="eastAsia" w:ascii="宋体" w:hAnsi="宋体"/>
          <w:color w:val="auto"/>
          <w:sz w:val="24"/>
          <w:szCs w:val="28"/>
          <w:highlight w:val="none"/>
        </w:rPr>
      </w:pPr>
      <w:r>
        <w:rPr>
          <w:rFonts w:hint="eastAsia" w:ascii="宋体" w:hAnsi="宋体"/>
          <w:color w:val="auto"/>
          <w:sz w:val="24"/>
          <w:szCs w:val="28"/>
          <w:highlight w:val="none"/>
        </w:rPr>
        <w:t>3.1、供应商须拥有有效的营业执照，营业范围须包括：</w:t>
      </w:r>
      <w:r>
        <w:rPr>
          <w:rFonts w:hint="eastAsia" w:ascii="宋体" w:hAnsi="宋体"/>
          <w:color w:val="auto"/>
          <w:sz w:val="24"/>
          <w:szCs w:val="28"/>
          <w:highlight w:val="none"/>
          <w:lang w:val="en-US" w:eastAsia="zh-CN"/>
        </w:rPr>
        <w:t>医用</w:t>
      </w:r>
      <w:r>
        <w:rPr>
          <w:rFonts w:hint="eastAsia" w:ascii="宋体" w:hAnsi="宋体"/>
          <w:color w:val="auto"/>
          <w:sz w:val="24"/>
          <w:szCs w:val="28"/>
          <w:highlight w:val="none"/>
        </w:rPr>
        <w:t xml:space="preserve">家具的生产或销售； </w:t>
      </w:r>
    </w:p>
    <w:p>
      <w:pPr>
        <w:autoSpaceDE w:val="0"/>
        <w:autoSpaceDN w:val="0"/>
        <w:adjustRightInd w:val="0"/>
        <w:spacing w:line="360" w:lineRule="auto"/>
        <w:jc w:val="left"/>
        <w:rPr>
          <w:rFonts w:hint="eastAsia" w:ascii="宋体" w:hAnsi="宋体"/>
          <w:sz w:val="24"/>
          <w:szCs w:val="28"/>
          <w:highlight w:val="none"/>
        </w:rPr>
      </w:pPr>
      <w:r>
        <w:rPr>
          <w:rFonts w:hint="eastAsia" w:ascii="宋体" w:hAnsi="宋体"/>
          <w:sz w:val="24"/>
          <w:szCs w:val="28"/>
          <w:highlight w:val="none"/>
        </w:rPr>
        <w:t>3.2、本项目采用资格后审，不接受联合体投标；</w:t>
      </w:r>
    </w:p>
    <w:p>
      <w:pPr>
        <w:autoSpaceDE w:val="0"/>
        <w:autoSpaceDN w:val="0"/>
        <w:adjustRightInd w:val="0"/>
        <w:spacing w:line="360" w:lineRule="auto"/>
        <w:jc w:val="left"/>
        <w:rPr>
          <w:rFonts w:ascii="宋体" w:hAnsi="宋体"/>
          <w:sz w:val="24"/>
          <w:szCs w:val="28"/>
          <w:highlight w:val="none"/>
        </w:rPr>
      </w:pPr>
      <w:r>
        <w:rPr>
          <w:rFonts w:ascii="宋体" w:hAnsi="宋体"/>
          <w:sz w:val="24"/>
          <w:szCs w:val="28"/>
          <w:highlight w:val="none"/>
        </w:rPr>
        <w:t>3.</w:t>
      </w:r>
      <w:r>
        <w:rPr>
          <w:rFonts w:hint="eastAsia" w:ascii="宋体" w:hAnsi="宋体"/>
          <w:sz w:val="24"/>
          <w:szCs w:val="28"/>
          <w:highlight w:val="none"/>
          <w:lang w:val="en-US" w:eastAsia="zh-CN"/>
        </w:rPr>
        <w:t>3</w:t>
      </w:r>
      <w:r>
        <w:rPr>
          <w:rFonts w:hint="eastAsia" w:ascii="宋体" w:hAnsi="宋体"/>
          <w:sz w:val="24"/>
          <w:szCs w:val="28"/>
          <w:highlight w:val="none"/>
        </w:rPr>
        <w:t>投标单位存在以下不良信用记录情形之一的，不得推荐为成交候选供应商，不得确定为成交供应商：</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①投标单位被人民法院列入失信被执行人的；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②投标单位或其法定代表人或拟派项目负责人被人民检察院列入行贿犯罪档案的；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③投标单位被工商行政管理部门列入企业经营异常名录的；</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④投标单位被税务部门列入重大税收违法案件当事人名单的；</w:t>
      </w:r>
    </w:p>
    <w:p>
      <w:pPr>
        <w:autoSpaceDE w:val="0"/>
        <w:autoSpaceDN w:val="0"/>
        <w:adjustRightInd w:val="0"/>
        <w:spacing w:line="360" w:lineRule="auto"/>
        <w:jc w:val="left"/>
        <w:rPr>
          <w:rFonts w:ascii="宋体" w:hAnsi="宋体" w:eastAsia="宋体" w:cs="Times New Roman"/>
          <w:b/>
          <w:sz w:val="28"/>
          <w:szCs w:val="28"/>
          <w:highlight w:val="none"/>
        </w:rPr>
      </w:pPr>
      <w:r>
        <w:rPr>
          <w:rFonts w:hint="eastAsia" w:ascii="宋体" w:hAnsi="宋体"/>
          <w:sz w:val="24"/>
          <w:szCs w:val="28"/>
          <w:highlight w:val="none"/>
        </w:rPr>
        <w:t>⑤投标单位被政府采购监管部门列入政府采购严重违法失信行为记录名单的。</w:t>
      </w:r>
    </w:p>
    <w:p>
      <w:pPr>
        <w:pStyle w:val="3"/>
        <w:numPr>
          <w:ilvl w:val="0"/>
          <w:numId w:val="0"/>
        </w:numPr>
        <w:ind w:left="425"/>
        <w:jc w:val="center"/>
        <w:rPr>
          <w:rFonts w:hint="default" w:eastAsiaTheme="minorEastAsia"/>
          <w:sz w:val="44"/>
          <w:szCs w:val="44"/>
          <w:lang w:val="en-US" w:eastAsia="zh-CN"/>
        </w:rPr>
      </w:pPr>
      <w:r>
        <w:rPr>
          <w:rFonts w:hint="eastAsia"/>
          <w:sz w:val="44"/>
          <w:szCs w:val="44"/>
        </w:rPr>
        <w:t>蚌埠市第一人民医院和禹会分院病床及床头柜采购</w:t>
      </w:r>
      <w:r>
        <w:rPr>
          <w:rFonts w:hint="eastAsia"/>
          <w:sz w:val="44"/>
          <w:szCs w:val="44"/>
          <w:lang w:val="en-US" w:eastAsia="zh-CN"/>
        </w:rPr>
        <w:t>及安装</w:t>
      </w:r>
      <w:r>
        <w:rPr>
          <w:rFonts w:hint="eastAsia"/>
          <w:sz w:val="44"/>
          <w:szCs w:val="44"/>
        </w:rPr>
        <w:t>项目</w:t>
      </w:r>
      <w:r>
        <w:rPr>
          <w:rFonts w:hint="eastAsia"/>
          <w:sz w:val="44"/>
          <w:szCs w:val="44"/>
          <w:lang w:val="en-US" w:eastAsia="zh-CN"/>
        </w:rPr>
        <w:t>功能需求</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一、总体要求</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1.到货期：国产设备15天。</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2.质保期：整体质保三年。</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3.付款方式：设备安装、调试、验收合格后凭开具的正规发票及验收合格入库单付50%，三个月付40%，10%作为质保金质保期满且设备无故障后支付。</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4.耗材及易损件价格清单单独列出。</w:t>
      </w:r>
    </w:p>
    <w:p>
      <w:pPr>
        <w:spacing w:line="120" w:lineRule="auto"/>
        <w:ind w:left="-420" w:leftChars="-200"/>
        <w:rPr>
          <w:rFonts w:ascii="仿宋" w:hAnsi="仿宋" w:eastAsia="仿宋" w:cs="仿宋"/>
          <w:sz w:val="28"/>
          <w:szCs w:val="28"/>
        </w:rPr>
      </w:pPr>
      <w:r>
        <w:rPr>
          <w:rFonts w:hint="eastAsia" w:ascii="仿宋" w:hAnsi="仿宋" w:eastAsia="仿宋" w:cs="仿宋"/>
          <w:sz w:val="28"/>
          <w:szCs w:val="28"/>
        </w:rPr>
        <w:t>二、设备清单</w:t>
      </w:r>
    </w:p>
    <w:p>
      <w:pPr>
        <w:spacing w:line="120" w:lineRule="auto"/>
        <w:ind w:left="-420" w:leftChars="-200" w:firstLine="560" w:firstLineChars="200"/>
        <w:rPr>
          <w:rFonts w:ascii="仿宋" w:hAnsi="仿宋" w:eastAsia="仿宋" w:cs="仿宋"/>
          <w:color w:val="000000"/>
          <w:kern w:val="0"/>
          <w:sz w:val="28"/>
          <w:szCs w:val="28"/>
        </w:rPr>
      </w:pPr>
      <w:r>
        <w:rPr>
          <w:rFonts w:hint="eastAsia" w:ascii="仿宋" w:hAnsi="仿宋" w:eastAsia="仿宋" w:cs="仿宋"/>
          <w:sz w:val="28"/>
          <w:szCs w:val="28"/>
        </w:rPr>
        <w:t>采购病床1</w:t>
      </w:r>
      <w:r>
        <w:rPr>
          <w:rFonts w:ascii="仿宋" w:hAnsi="仿宋" w:eastAsia="仿宋" w:cs="仿宋"/>
          <w:sz w:val="28"/>
          <w:szCs w:val="28"/>
        </w:rPr>
        <w:t>50</w:t>
      </w:r>
      <w:r>
        <w:rPr>
          <w:rFonts w:hint="eastAsia" w:ascii="仿宋" w:hAnsi="仿宋" w:eastAsia="仿宋" w:cs="仿宋"/>
          <w:sz w:val="28"/>
          <w:szCs w:val="28"/>
        </w:rPr>
        <w:t>张预算金额1</w:t>
      </w:r>
      <w:r>
        <w:rPr>
          <w:rFonts w:ascii="仿宋" w:hAnsi="仿宋" w:eastAsia="仿宋" w:cs="仿宋"/>
          <w:sz w:val="28"/>
          <w:szCs w:val="28"/>
        </w:rPr>
        <w:t>8</w:t>
      </w:r>
      <w:r>
        <w:rPr>
          <w:rFonts w:hint="eastAsia" w:ascii="仿宋" w:hAnsi="仿宋" w:eastAsia="仿宋" w:cs="仿宋"/>
          <w:sz w:val="28"/>
          <w:szCs w:val="28"/>
        </w:rPr>
        <w:t>万元，床头柜9</w:t>
      </w:r>
      <w:r>
        <w:rPr>
          <w:rFonts w:ascii="仿宋" w:hAnsi="仿宋" w:eastAsia="仿宋" w:cs="仿宋"/>
          <w:sz w:val="28"/>
          <w:szCs w:val="28"/>
        </w:rPr>
        <w:t>50</w:t>
      </w:r>
      <w:r>
        <w:rPr>
          <w:rFonts w:hint="eastAsia" w:ascii="仿宋" w:hAnsi="仿宋" w:eastAsia="仿宋" w:cs="仿宋"/>
          <w:sz w:val="28"/>
          <w:szCs w:val="28"/>
        </w:rPr>
        <w:t>个预算金额3</w:t>
      </w:r>
      <w:r>
        <w:rPr>
          <w:rFonts w:ascii="仿宋" w:hAnsi="仿宋" w:eastAsia="仿宋" w:cs="仿宋"/>
          <w:sz w:val="28"/>
          <w:szCs w:val="28"/>
        </w:rPr>
        <w:t>0.4</w:t>
      </w:r>
      <w:r>
        <w:rPr>
          <w:rFonts w:hint="eastAsia" w:ascii="仿宋" w:hAnsi="仿宋" w:eastAsia="仿宋" w:cs="仿宋"/>
          <w:sz w:val="28"/>
          <w:szCs w:val="28"/>
        </w:rPr>
        <w:t>万元，预算总金额4</w:t>
      </w:r>
      <w:r>
        <w:rPr>
          <w:rFonts w:ascii="仿宋" w:hAnsi="仿宋" w:eastAsia="仿宋" w:cs="仿宋"/>
          <w:sz w:val="28"/>
          <w:szCs w:val="28"/>
        </w:rPr>
        <w:t>8.4</w:t>
      </w:r>
      <w:r>
        <w:rPr>
          <w:rFonts w:hint="eastAsia" w:ascii="仿宋" w:hAnsi="仿宋" w:eastAsia="仿宋" w:cs="仿宋"/>
          <w:sz w:val="28"/>
          <w:szCs w:val="28"/>
        </w:rPr>
        <w:t>万元。其中：</w:t>
      </w:r>
      <w:r>
        <w:rPr>
          <w:rFonts w:hint="eastAsia" w:ascii="仿宋" w:hAnsi="仿宋" w:eastAsia="仿宋" w:cs="仿宋"/>
          <w:color w:val="000000"/>
          <w:kern w:val="0"/>
          <w:sz w:val="28"/>
          <w:szCs w:val="28"/>
        </w:rPr>
        <w:t>第一人民医院采购金额31.68万元，禹会分院采购金额16.72万元。</w:t>
      </w:r>
    </w:p>
    <w:p>
      <w:pPr>
        <w:spacing w:line="192" w:lineRule="auto"/>
        <w:ind w:left="-420" w:leftChars="-200" w:firstLine="560" w:firstLineChars="200"/>
        <w:rPr>
          <w:rFonts w:ascii="仿宋" w:hAnsi="仿宋" w:eastAsia="仿宋" w:cs="仿宋"/>
          <w:sz w:val="28"/>
          <w:szCs w:val="28"/>
        </w:rPr>
      </w:pPr>
      <w:r>
        <w:rPr>
          <w:rFonts w:hint="eastAsia" w:ascii="仿宋" w:hAnsi="仿宋" w:eastAsia="仿宋" w:cs="仿宋"/>
          <w:color w:val="000000"/>
          <w:kern w:val="0"/>
          <w:sz w:val="28"/>
          <w:szCs w:val="28"/>
        </w:rPr>
        <w:t>清单如下：</w:t>
      </w:r>
    </w:p>
    <w:tbl>
      <w:tblPr>
        <w:tblStyle w:val="13"/>
        <w:tblpPr w:leftFromText="180" w:rightFromText="180" w:vertAnchor="text" w:tblpXSpec="center" w:tblpY="1"/>
        <w:tblOverlap w:val="never"/>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126"/>
        <w:gridCol w:w="1701"/>
        <w:gridCol w:w="992"/>
        <w:gridCol w:w="992"/>
        <w:gridCol w:w="2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926" w:type="dxa"/>
            <w:gridSpan w:val="6"/>
            <w:vAlign w:val="center"/>
          </w:tcPr>
          <w:p>
            <w:pPr>
              <w:snapToGrid w:val="0"/>
              <w:spacing w:line="192" w:lineRule="auto"/>
              <w:ind w:left="-420" w:leftChars="-200" w:firstLine="324" w:firstLineChars="116"/>
              <w:jc w:val="left"/>
              <w:rPr>
                <w:rFonts w:ascii="仿宋" w:hAnsi="仿宋" w:eastAsia="仿宋" w:cs="仿宋"/>
                <w:color w:val="000000"/>
                <w:kern w:val="0"/>
                <w:sz w:val="28"/>
                <w:szCs w:val="28"/>
              </w:rPr>
            </w:pPr>
            <w:r>
              <w:rPr>
                <w:rFonts w:hint="eastAsia" w:ascii="仿宋" w:hAnsi="仿宋" w:eastAsia="仿宋" w:cs="仿宋"/>
                <w:color w:val="000000"/>
                <w:kern w:val="0"/>
                <w:sz w:val="28"/>
                <w:szCs w:val="28"/>
              </w:rPr>
              <w:t>（一）第一人民医院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序号</w:t>
            </w:r>
          </w:p>
        </w:tc>
        <w:tc>
          <w:tcPr>
            <w:tcW w:w="2126"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设备名称</w:t>
            </w:r>
          </w:p>
        </w:tc>
        <w:tc>
          <w:tcPr>
            <w:tcW w:w="1701"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产地</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数量</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单位</w:t>
            </w:r>
          </w:p>
        </w:tc>
        <w:tc>
          <w:tcPr>
            <w:tcW w:w="2127" w:type="dxa"/>
            <w:vAlign w:val="center"/>
          </w:tcPr>
          <w:p>
            <w:pPr>
              <w:snapToGrid w:val="0"/>
              <w:spacing w:line="192" w:lineRule="auto"/>
              <w:ind w:left="-420" w:leftChars="-200" w:firstLine="324" w:firstLineChars="116"/>
              <w:rPr>
                <w:rFonts w:ascii="仿宋" w:hAnsi="仿宋" w:eastAsia="仿宋" w:cs="仿宋"/>
                <w:color w:val="000000"/>
                <w:kern w:val="0"/>
                <w:sz w:val="28"/>
                <w:szCs w:val="28"/>
              </w:rPr>
            </w:pPr>
            <w:r>
              <w:rPr>
                <w:rFonts w:hint="eastAsia" w:ascii="仿宋" w:hAnsi="仿宋" w:eastAsia="仿宋" w:cs="仿宋"/>
                <w:color w:val="000000"/>
                <w:kern w:val="0"/>
                <w:sz w:val="28"/>
                <w:szCs w:val="28"/>
              </w:rPr>
              <w:t>预算价（万元）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p>
        </w:tc>
        <w:tc>
          <w:tcPr>
            <w:tcW w:w="2126" w:type="dxa"/>
            <w:vAlign w:val="center"/>
          </w:tcPr>
          <w:p>
            <w:pPr>
              <w:widowControl/>
              <w:spacing w:line="192" w:lineRule="auto"/>
              <w:jc w:val="center"/>
              <w:rPr>
                <w:rFonts w:ascii="仿宋" w:hAnsi="仿宋" w:eastAsia="仿宋"/>
                <w:color w:val="000000"/>
                <w:sz w:val="28"/>
                <w:szCs w:val="28"/>
              </w:rPr>
            </w:pPr>
            <w:r>
              <w:rPr>
                <w:rFonts w:hint="eastAsia" w:ascii="仿宋" w:hAnsi="仿宋" w:eastAsia="仿宋"/>
                <w:color w:val="000000"/>
                <w:sz w:val="28"/>
                <w:szCs w:val="28"/>
              </w:rPr>
              <w:t>病床</w:t>
            </w:r>
          </w:p>
        </w:tc>
        <w:tc>
          <w:tcPr>
            <w:tcW w:w="1701" w:type="dxa"/>
            <w:vAlign w:val="center"/>
          </w:tcPr>
          <w:p>
            <w:pPr>
              <w:snapToGrid w:val="0"/>
              <w:spacing w:line="192" w:lineRule="auto"/>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国产</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4</w:t>
            </w:r>
            <w:r>
              <w:rPr>
                <w:rFonts w:ascii="仿宋" w:hAnsi="仿宋" w:eastAsia="仿宋" w:cs="仿宋"/>
                <w:color w:val="000000"/>
                <w:kern w:val="0"/>
                <w:sz w:val="28"/>
                <w:szCs w:val="28"/>
              </w:rPr>
              <w:t>0</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张</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4</w:t>
            </w:r>
            <w:r>
              <w:rPr>
                <w:rFonts w:ascii="仿宋" w:hAnsi="仿宋" w:eastAsia="仿宋" w:cs="仿宋"/>
                <w:color w:val="000000"/>
                <w:kern w:val="0"/>
                <w:sz w:val="28"/>
                <w:szCs w:val="2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2</w:t>
            </w:r>
          </w:p>
        </w:tc>
        <w:tc>
          <w:tcPr>
            <w:tcW w:w="2126" w:type="dxa"/>
            <w:vAlign w:val="center"/>
          </w:tcPr>
          <w:p>
            <w:pPr>
              <w:widowControl/>
              <w:spacing w:line="192" w:lineRule="auto"/>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床头柜</w:t>
            </w:r>
          </w:p>
        </w:tc>
        <w:tc>
          <w:tcPr>
            <w:tcW w:w="1701" w:type="dxa"/>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国产</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8</w:t>
            </w:r>
            <w:r>
              <w:rPr>
                <w:rFonts w:ascii="仿宋" w:hAnsi="仿宋" w:eastAsia="仿宋" w:cs="仿宋"/>
                <w:color w:val="000000"/>
                <w:kern w:val="0"/>
                <w:sz w:val="28"/>
                <w:szCs w:val="28"/>
              </w:rPr>
              <w:t>40</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个</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2</w:t>
            </w:r>
            <w:r>
              <w:rPr>
                <w:rFonts w:ascii="仿宋" w:hAnsi="仿宋" w:eastAsia="仿宋" w:cs="仿宋"/>
                <w:color w:val="000000"/>
                <w:kern w:val="0"/>
                <w:sz w:val="28"/>
                <w:szCs w:val="28"/>
              </w:rPr>
              <w:t>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6799" w:type="dxa"/>
            <w:gridSpan w:val="5"/>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合计：</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3</w:t>
            </w:r>
            <w:r>
              <w:rPr>
                <w:rFonts w:ascii="仿宋" w:hAnsi="仿宋" w:eastAsia="仿宋" w:cs="仿宋"/>
                <w:color w:val="000000"/>
                <w:kern w:val="0"/>
                <w:sz w:val="28"/>
                <w:szCs w:val="28"/>
              </w:rPr>
              <w:t>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8926" w:type="dxa"/>
            <w:gridSpan w:val="6"/>
            <w:vAlign w:val="center"/>
          </w:tcPr>
          <w:p>
            <w:pPr>
              <w:widowControl/>
              <w:snapToGrid w:val="0"/>
              <w:spacing w:line="192" w:lineRule="auto"/>
              <w:ind w:left="-420" w:leftChars="-200" w:firstLine="324" w:firstLineChars="116"/>
              <w:jc w:val="left"/>
              <w:rPr>
                <w:rFonts w:hint="eastAsia" w:ascii="仿宋" w:hAnsi="仿宋" w:eastAsia="仿宋" w:cs="仿宋"/>
                <w:color w:val="000000"/>
                <w:kern w:val="0"/>
                <w:sz w:val="28"/>
                <w:szCs w:val="28"/>
                <w:lang w:eastAsia="zh-CN"/>
              </w:rPr>
            </w:pPr>
            <w:r>
              <w:rPr>
                <w:rFonts w:hint="eastAsia" w:ascii="仿宋" w:hAnsi="仿宋" w:eastAsia="仿宋" w:cs="仿宋"/>
                <w:color w:val="000000"/>
                <w:kern w:val="0"/>
                <w:sz w:val="28"/>
                <w:szCs w:val="28"/>
              </w:rPr>
              <w:t>（二）禹会分院</w:t>
            </w:r>
            <w:r>
              <w:rPr>
                <w:rFonts w:hint="eastAsia" w:ascii="仿宋" w:hAnsi="仿宋" w:eastAsia="仿宋" w:cs="仿宋"/>
                <w:color w:val="0000FF"/>
                <w:kern w:val="0"/>
                <w:sz w:val="28"/>
                <w:szCs w:val="28"/>
                <w:lang w:eastAsia="zh-CN"/>
              </w:rPr>
              <w:t>（</w:t>
            </w:r>
            <w:r>
              <w:rPr>
                <w:rFonts w:hint="eastAsia" w:ascii="仿宋" w:hAnsi="仿宋" w:eastAsia="仿宋" w:cs="仿宋"/>
                <w:color w:val="0000FF"/>
                <w:kern w:val="0"/>
                <w:sz w:val="28"/>
                <w:szCs w:val="28"/>
                <w:lang w:val="en-US" w:eastAsia="zh-CN"/>
              </w:rPr>
              <w:t>单独签合同</w:t>
            </w:r>
            <w:r>
              <w:rPr>
                <w:rFonts w:hint="eastAsia" w:ascii="仿宋" w:hAnsi="仿宋" w:eastAsia="仿宋" w:cs="仿宋"/>
                <w:color w:val="0000FF"/>
                <w:kern w:val="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序号</w:t>
            </w:r>
          </w:p>
        </w:tc>
        <w:tc>
          <w:tcPr>
            <w:tcW w:w="2126" w:type="dxa"/>
            <w:vAlign w:val="center"/>
          </w:tcPr>
          <w:p>
            <w:pPr>
              <w:widowControl/>
              <w:spacing w:line="192" w:lineRule="auto"/>
              <w:jc w:val="center"/>
              <w:rPr>
                <w:rFonts w:ascii="仿宋" w:hAnsi="仿宋" w:eastAsia="仿宋" w:cs="宋体"/>
                <w:color w:val="000000"/>
                <w:kern w:val="0"/>
                <w:sz w:val="28"/>
                <w:szCs w:val="28"/>
              </w:rPr>
            </w:pPr>
            <w:r>
              <w:rPr>
                <w:rFonts w:hint="eastAsia" w:ascii="仿宋" w:hAnsi="仿宋" w:eastAsia="仿宋" w:cs="仿宋"/>
                <w:color w:val="000000"/>
                <w:kern w:val="0"/>
                <w:sz w:val="28"/>
                <w:szCs w:val="28"/>
              </w:rPr>
              <w:t>设备名称</w:t>
            </w:r>
          </w:p>
        </w:tc>
        <w:tc>
          <w:tcPr>
            <w:tcW w:w="1701"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产地</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数量</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单位</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预算价（万元）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p>
        </w:tc>
        <w:tc>
          <w:tcPr>
            <w:tcW w:w="2126" w:type="dxa"/>
            <w:vAlign w:val="center"/>
          </w:tcPr>
          <w:p>
            <w:pPr>
              <w:widowControl/>
              <w:spacing w:line="192" w:lineRule="auto"/>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病床</w:t>
            </w:r>
          </w:p>
        </w:tc>
        <w:tc>
          <w:tcPr>
            <w:tcW w:w="1701" w:type="dxa"/>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国产</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ascii="仿宋" w:hAnsi="仿宋" w:eastAsia="仿宋" w:cs="仿宋"/>
                <w:color w:val="000000"/>
                <w:kern w:val="0"/>
                <w:sz w:val="28"/>
                <w:szCs w:val="28"/>
              </w:rPr>
              <w:t>10</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张</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ascii="仿宋" w:hAnsi="仿宋" w:eastAsia="仿宋" w:cs="仿宋"/>
                <w:color w:val="000000"/>
                <w:kern w:val="0"/>
                <w:sz w:val="28"/>
                <w:szCs w:val="28"/>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88"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2</w:t>
            </w:r>
          </w:p>
        </w:tc>
        <w:tc>
          <w:tcPr>
            <w:tcW w:w="2126" w:type="dxa"/>
            <w:vAlign w:val="center"/>
          </w:tcPr>
          <w:p>
            <w:pPr>
              <w:widowControl/>
              <w:spacing w:line="192" w:lineRule="auto"/>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床头柜</w:t>
            </w:r>
          </w:p>
        </w:tc>
        <w:tc>
          <w:tcPr>
            <w:tcW w:w="1701" w:type="dxa"/>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国产</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ascii="仿宋" w:hAnsi="仿宋" w:eastAsia="仿宋" w:cs="仿宋"/>
                <w:color w:val="000000"/>
                <w:kern w:val="0"/>
                <w:sz w:val="28"/>
                <w:szCs w:val="28"/>
              </w:rPr>
              <w:t>10</w:t>
            </w:r>
          </w:p>
        </w:tc>
        <w:tc>
          <w:tcPr>
            <w:tcW w:w="992" w:type="dxa"/>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个</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3</w:t>
            </w:r>
            <w:r>
              <w:rPr>
                <w:rFonts w:ascii="仿宋" w:hAnsi="仿宋" w:eastAsia="仿宋" w:cs="仿宋"/>
                <w:color w:val="000000"/>
                <w:kern w:val="0"/>
                <w:sz w:val="28"/>
                <w:szCs w:val="28"/>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6799" w:type="dxa"/>
            <w:gridSpan w:val="5"/>
            <w:vAlign w:val="center"/>
          </w:tcPr>
          <w:p>
            <w:pPr>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合计：</w:t>
            </w:r>
          </w:p>
        </w:tc>
        <w:tc>
          <w:tcPr>
            <w:tcW w:w="2127" w:type="dxa"/>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1</w:t>
            </w:r>
            <w:r>
              <w:rPr>
                <w:rFonts w:ascii="仿宋" w:hAnsi="仿宋" w:eastAsia="仿宋" w:cs="仿宋"/>
                <w:color w:val="000000"/>
                <w:kern w:val="0"/>
                <w:sz w:val="28"/>
                <w:szCs w:val="28"/>
              </w:rPr>
              <w:t>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8926" w:type="dxa"/>
            <w:gridSpan w:val="6"/>
            <w:vAlign w:val="center"/>
          </w:tcPr>
          <w:p>
            <w:pPr>
              <w:widowControl/>
              <w:snapToGrid w:val="0"/>
              <w:spacing w:line="192" w:lineRule="auto"/>
              <w:ind w:left="-420" w:leftChars="-200" w:firstLine="324" w:firstLineChars="116"/>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第一人民医院和禹会分院病床及床头柜总预算共计：4</w:t>
            </w:r>
            <w:r>
              <w:rPr>
                <w:rFonts w:ascii="仿宋" w:hAnsi="仿宋" w:eastAsia="仿宋" w:cs="仿宋"/>
                <w:color w:val="000000"/>
                <w:kern w:val="0"/>
                <w:sz w:val="28"/>
                <w:szCs w:val="28"/>
              </w:rPr>
              <w:t>8.4</w:t>
            </w:r>
            <w:r>
              <w:rPr>
                <w:rFonts w:hint="eastAsia" w:ascii="仿宋" w:hAnsi="仿宋" w:eastAsia="仿宋" w:cs="仿宋"/>
                <w:color w:val="000000"/>
                <w:kern w:val="0"/>
                <w:sz w:val="28"/>
                <w:szCs w:val="28"/>
              </w:rPr>
              <w:t>万元，</w:t>
            </w:r>
          </w:p>
        </w:tc>
      </w:tr>
    </w:tbl>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三、功能需求</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（一）、普通双摇病床</w:t>
      </w:r>
    </w:p>
    <w:p>
      <w:pPr>
        <w:spacing w:line="192" w:lineRule="auto"/>
        <w:ind w:left="-420" w:leftChars="-200"/>
        <w:rPr>
          <w:rFonts w:ascii="仿宋" w:hAnsi="仿宋" w:eastAsia="仿宋" w:cs="仿宋"/>
          <w:sz w:val="28"/>
          <w:szCs w:val="28"/>
        </w:rPr>
      </w:pPr>
      <w:r>
        <w:rPr>
          <w:rFonts w:hint="eastAsia" w:ascii="仿宋" w:hAnsi="仿宋" w:eastAsia="仿宋" w:cs="仿宋"/>
          <w:color w:val="0000FF"/>
          <w:sz w:val="28"/>
          <w:szCs w:val="28"/>
        </w:rPr>
        <w:t>*</w:t>
      </w:r>
      <w:r>
        <w:rPr>
          <w:rFonts w:hint="eastAsia" w:ascii="仿宋" w:hAnsi="仿宋" w:eastAsia="仿宋" w:cs="仿宋"/>
          <w:sz w:val="28"/>
          <w:szCs w:val="28"/>
        </w:rPr>
        <w:t>1、总体要求：A</w:t>
      </w:r>
      <w:r>
        <w:rPr>
          <w:rFonts w:ascii="仿宋" w:hAnsi="仿宋" w:eastAsia="仿宋" w:cs="仿宋"/>
          <w:sz w:val="28"/>
          <w:szCs w:val="28"/>
        </w:rPr>
        <w:t>BS</w:t>
      </w:r>
      <w:r>
        <w:rPr>
          <w:rFonts w:hint="eastAsia" w:ascii="仿宋" w:hAnsi="仿宋" w:eastAsia="仿宋" w:cs="仿宋"/>
          <w:sz w:val="28"/>
          <w:szCs w:val="28"/>
        </w:rPr>
        <w:t>床头床尾，双摇带护栏，长度≥2100mm，宽度≥950mm，高度500±5</w:t>
      </w:r>
      <w:r>
        <w:rPr>
          <w:rFonts w:ascii="仿宋" w:hAnsi="仿宋" w:eastAsia="仿宋" w:cs="仿宋"/>
          <w:sz w:val="28"/>
          <w:szCs w:val="28"/>
        </w:rPr>
        <w:t>0</w:t>
      </w:r>
      <w:r>
        <w:rPr>
          <w:rFonts w:hint="eastAsia" w:ascii="仿宋" w:hAnsi="仿宋" w:eastAsia="仿宋" w:cs="仿宋"/>
          <w:sz w:val="28"/>
          <w:szCs w:val="28"/>
        </w:rPr>
        <w:t>mm，最大载重量≥2</w:t>
      </w:r>
      <w:r>
        <w:rPr>
          <w:rFonts w:ascii="仿宋" w:hAnsi="仿宋" w:eastAsia="仿宋" w:cs="仿宋"/>
          <w:sz w:val="28"/>
          <w:szCs w:val="28"/>
        </w:rPr>
        <w:t>50</w:t>
      </w:r>
      <w:r>
        <w:rPr>
          <w:rFonts w:hint="eastAsia" w:ascii="仿宋" w:hAnsi="仿宋" w:eastAsia="仿宋" w:cs="仿宋"/>
          <w:sz w:val="28"/>
          <w:szCs w:val="28"/>
        </w:rPr>
        <w:t>kg。</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*2、床体框架：采用激光焊接机焊接工艺焊接制成，床面各段使用接轴连接，使用紧固螺栓紧固。钢管横截面尺寸≥40×80mm，管壁厚度≥1.5mm。</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3、床面：采用厚度≥1.</w:t>
      </w:r>
      <w:r>
        <w:rPr>
          <w:rFonts w:ascii="仿宋" w:hAnsi="仿宋" w:eastAsia="仿宋" w:cs="仿宋"/>
          <w:sz w:val="28"/>
          <w:szCs w:val="28"/>
        </w:rPr>
        <w:t>2</w:t>
      </w:r>
      <w:r>
        <w:rPr>
          <w:rFonts w:hint="eastAsia" w:ascii="仿宋" w:hAnsi="仿宋" w:eastAsia="仿宋" w:cs="仿宋"/>
          <w:sz w:val="28"/>
          <w:szCs w:val="28"/>
        </w:rPr>
        <w:t>mm 冷轧钢板钣金冲孔工艺一次冲压成条型，具备透气孔，床面整体呈凹弧形，具有防滑功能。</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4、背部升降角度≥7</w:t>
      </w:r>
      <w:r>
        <w:rPr>
          <w:rFonts w:ascii="仿宋" w:hAnsi="仿宋" w:eastAsia="仿宋" w:cs="仿宋"/>
          <w:sz w:val="28"/>
          <w:szCs w:val="28"/>
        </w:rPr>
        <w:t>0</w:t>
      </w:r>
      <w:r>
        <w:rPr>
          <w:rFonts w:hint="eastAsia" w:ascii="仿宋" w:hAnsi="仿宋" w:eastAsia="仿宋" w:cs="仿宋"/>
          <w:sz w:val="28"/>
          <w:szCs w:val="28"/>
        </w:rPr>
        <w:t>°，腿部升降角度≥</w:t>
      </w:r>
      <w:r>
        <w:rPr>
          <w:rFonts w:ascii="仿宋" w:hAnsi="仿宋" w:eastAsia="仿宋" w:cs="仿宋"/>
          <w:sz w:val="28"/>
          <w:szCs w:val="28"/>
        </w:rPr>
        <w:t>30</w:t>
      </w:r>
      <w:r>
        <w:rPr>
          <w:rFonts w:hint="eastAsia" w:ascii="仿宋" w:hAnsi="仿宋" w:eastAsia="仿宋" w:cs="仿宋"/>
          <w:sz w:val="28"/>
          <w:szCs w:val="28"/>
        </w:rPr>
        <w:t>°。</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5、床头床尾板：全新ABS强化塑料一次性吹塑成型，配有防撞角，弧线设计，中间带颜色装饰贴纸，床头床尾板采用挂式装置并加固，易拆卸方便CPR急救，床尾板外侧有病人信息卡插槽≥3卡槽。可根据科室定制床头床位板颜色。</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6、护栏：铝合金折叠护栏，根据需求合理增减床档高度、长度</w:t>
      </w:r>
      <w:r>
        <w:rPr>
          <w:rFonts w:hint="eastAsia" w:ascii="仿宋" w:hAnsi="仿宋" w:eastAsia="仿宋" w:cs="仿宋"/>
          <w:sz w:val="28"/>
          <w:szCs w:val="28"/>
          <w:lang w:eastAsia="zh-CN"/>
        </w:rPr>
        <w:t>，</w:t>
      </w:r>
      <w:r>
        <w:rPr>
          <w:rFonts w:hint="eastAsia" w:ascii="仿宋" w:hAnsi="仿宋" w:eastAsia="仿宋" w:cs="仿宋"/>
          <w:sz w:val="28"/>
          <w:szCs w:val="28"/>
        </w:rPr>
        <w:t>护栏垂直档数≥5，上下支架全套铁件模具化，金属把手，配有自动锁定装置，防夹手。</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*7、床腿：矩形钢管制成，横截面尺寸≥ 50×50mm，厚度≥1.</w:t>
      </w:r>
      <w:r>
        <w:rPr>
          <w:rFonts w:ascii="仿宋" w:hAnsi="仿宋" w:eastAsia="仿宋" w:cs="仿宋"/>
          <w:sz w:val="28"/>
          <w:szCs w:val="28"/>
        </w:rPr>
        <w:t>5</w:t>
      </w:r>
      <w:r>
        <w:rPr>
          <w:rFonts w:hint="eastAsia" w:ascii="仿宋" w:hAnsi="仿宋" w:eastAsia="仿宋" w:cs="仿宋"/>
          <w:sz w:val="28"/>
          <w:szCs w:val="28"/>
        </w:rPr>
        <w:t>mm。</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8、漆面处理：床面、床体框架、床体表面均经酸洗、磷化后喷塑处理，颜色为高光白，附着力达一级标准，具有抗菌防腐作用。</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9、双摇摇把：ABS 折叠摇把，可隐藏于床体。</w:t>
      </w:r>
    </w:p>
    <w:p>
      <w:pPr>
        <w:spacing w:line="192" w:lineRule="auto"/>
        <w:ind w:left="-420" w:left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0</w:t>
      </w:r>
      <w:r>
        <w:rPr>
          <w:rFonts w:hint="eastAsia" w:ascii="仿宋" w:hAnsi="仿宋" w:eastAsia="仿宋" w:cs="仿宋"/>
          <w:sz w:val="28"/>
          <w:szCs w:val="28"/>
        </w:rPr>
        <w:t>、脚轮：静音耐磨加强型脚轮，尺寸≥</w:t>
      </w:r>
      <w:r>
        <w:rPr>
          <w:rFonts w:hint="eastAsia" w:ascii="仿宋" w:hAnsi="仿宋" w:eastAsia="仿宋" w:cs="仿宋"/>
          <w:color w:val="0000FF"/>
          <w:sz w:val="28"/>
          <w:szCs w:val="28"/>
        </w:rPr>
        <w:t>5寸</w:t>
      </w:r>
      <w:r>
        <w:rPr>
          <w:rFonts w:hint="eastAsia" w:ascii="仿宋" w:hAnsi="仿宋" w:eastAsia="仿宋" w:cs="仿宋"/>
          <w:sz w:val="28"/>
          <w:szCs w:val="28"/>
        </w:rPr>
        <w:t>，四轮刹车。</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1</w:t>
      </w:r>
      <w:r>
        <w:rPr>
          <w:rFonts w:hint="eastAsia" w:ascii="仿宋" w:hAnsi="仿宋" w:eastAsia="仿宋" w:cs="仿宋"/>
          <w:sz w:val="28"/>
          <w:szCs w:val="28"/>
        </w:rPr>
        <w:t>、床垫：尺寸与床相配，采用高密度海绵和椰棕制成，总厚度≥8cm，床垫两侧设有透气孔，外包医用深色牛津布面料，防水可拆洗。</w:t>
      </w:r>
    </w:p>
    <w:p>
      <w:pPr>
        <w:pStyle w:val="25"/>
        <w:spacing w:line="192" w:lineRule="auto"/>
        <w:ind w:left="-420" w:leftChars="-200" w:firstLine="0"/>
        <w:rPr>
          <w:rFonts w:hint="eastAsia"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2</w:t>
      </w:r>
      <w:r>
        <w:rPr>
          <w:rFonts w:hint="eastAsia" w:ascii="仿宋" w:hAnsi="仿宋" w:eastAsia="仿宋" w:cs="仿宋"/>
          <w:sz w:val="28"/>
          <w:szCs w:val="28"/>
        </w:rPr>
        <w:t>、其他配件：每床另配输液架一个、鞋盆架一套、可拆卸餐桌。</w:t>
      </w:r>
    </w:p>
    <w:p>
      <w:pPr>
        <w:pStyle w:val="25"/>
        <w:spacing w:line="192" w:lineRule="auto"/>
        <w:ind w:left="-420" w:leftChars="-200" w:firstLine="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13、床体配色：根据医院不同科室定制</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 xml:space="preserve">（二）、不锈钢面ABS床头柜        </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 xml:space="preserve">1、尺寸： </w:t>
      </w:r>
      <w:r>
        <w:rPr>
          <w:rFonts w:hint="eastAsia" w:ascii="仿宋" w:hAnsi="仿宋" w:eastAsia="仿宋" w:cs="仿宋"/>
          <w:color w:val="0000FF"/>
          <w:sz w:val="28"/>
          <w:szCs w:val="28"/>
          <w:lang w:val="en-US" w:eastAsia="zh-CN"/>
        </w:rPr>
        <w:t>约</w:t>
      </w:r>
      <w:r>
        <w:rPr>
          <w:rFonts w:hint="eastAsia" w:ascii="仿宋" w:hAnsi="仿宋" w:eastAsia="仿宋" w:cs="仿宋"/>
          <w:sz w:val="28"/>
          <w:szCs w:val="28"/>
        </w:rPr>
        <w:t>4</w:t>
      </w:r>
      <w:r>
        <w:rPr>
          <w:rFonts w:ascii="仿宋" w:hAnsi="仿宋" w:eastAsia="仿宋" w:cs="仿宋"/>
          <w:sz w:val="28"/>
          <w:szCs w:val="28"/>
        </w:rPr>
        <w:t>8</w:t>
      </w:r>
      <w:r>
        <w:rPr>
          <w:rFonts w:hint="eastAsia" w:ascii="仿宋" w:hAnsi="仿宋" w:eastAsia="仿宋" w:cs="仿宋"/>
          <w:sz w:val="28"/>
          <w:szCs w:val="28"/>
        </w:rPr>
        <w:t>0mmx4</w:t>
      </w:r>
      <w:r>
        <w:rPr>
          <w:rFonts w:ascii="仿宋" w:hAnsi="仿宋" w:eastAsia="仿宋" w:cs="仿宋"/>
          <w:sz w:val="28"/>
          <w:szCs w:val="28"/>
        </w:rPr>
        <w:t>8</w:t>
      </w:r>
      <w:r>
        <w:rPr>
          <w:rFonts w:hint="eastAsia" w:ascii="仿宋" w:hAnsi="仿宋" w:eastAsia="仿宋" w:cs="仿宋"/>
          <w:sz w:val="28"/>
          <w:szCs w:val="28"/>
        </w:rPr>
        <w:t>0mmx7</w:t>
      </w:r>
      <w:r>
        <w:rPr>
          <w:rFonts w:ascii="仿宋" w:hAnsi="仿宋" w:eastAsia="仿宋" w:cs="仿宋"/>
          <w:sz w:val="28"/>
          <w:szCs w:val="28"/>
        </w:rPr>
        <w:t>6</w:t>
      </w:r>
      <w:r>
        <w:rPr>
          <w:rFonts w:hint="eastAsia" w:ascii="仿宋" w:hAnsi="仿宋" w:eastAsia="仿宋" w:cs="仿宋"/>
          <w:sz w:val="28"/>
          <w:szCs w:val="28"/>
        </w:rPr>
        <w:t>0mm</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2、柜体材质均为ABS，颜色可选，最大承载力为≥80kg</w:t>
      </w:r>
    </w:p>
    <w:p>
      <w:pPr>
        <w:spacing w:line="192" w:lineRule="auto"/>
        <w:ind w:left="-420" w:leftChars="-200"/>
        <w:jc w:val="left"/>
        <w:rPr>
          <w:rFonts w:ascii="仿宋" w:hAnsi="仿宋" w:eastAsia="仿宋" w:cs="仿宋"/>
          <w:sz w:val="28"/>
          <w:szCs w:val="28"/>
        </w:rPr>
      </w:pPr>
      <w:r>
        <w:rPr>
          <w:rFonts w:hint="eastAsia" w:ascii="仿宋" w:hAnsi="仿宋" w:eastAsia="仿宋" w:cs="仿宋"/>
          <w:color w:val="0000FF"/>
          <w:sz w:val="28"/>
          <w:szCs w:val="28"/>
        </w:rPr>
        <w:t>*</w:t>
      </w:r>
      <w:r>
        <w:rPr>
          <w:rFonts w:hint="eastAsia" w:ascii="仿宋" w:hAnsi="仿宋" w:eastAsia="仿宋" w:cs="仿宋"/>
          <w:sz w:val="28"/>
          <w:szCs w:val="28"/>
        </w:rPr>
        <w:t>3、台面为全包304不锈钢材质，厚度≥1mm。不锈钢边口不能有尖锐、突出等影响使用及安全因素。</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4、台面下面抽拉板和抽屉，下部分为单开门柜，内有隔板，柜体两侧有隐藏毛巾架。整柜加强加固处理，整体内外表面光滑易清洁。</w:t>
      </w:r>
    </w:p>
    <w:p>
      <w:pPr>
        <w:spacing w:line="192" w:lineRule="auto"/>
        <w:ind w:left="-420" w:leftChars="-200"/>
        <w:jc w:val="left"/>
        <w:rPr>
          <w:rFonts w:ascii="仿宋" w:hAnsi="仿宋" w:eastAsia="仿宋" w:cs="仿宋"/>
          <w:sz w:val="28"/>
          <w:szCs w:val="28"/>
        </w:rPr>
      </w:pPr>
      <w:r>
        <w:rPr>
          <w:rFonts w:hint="eastAsia" w:ascii="仿宋" w:hAnsi="仿宋" w:eastAsia="仿宋" w:cs="仿宋"/>
          <w:sz w:val="28"/>
          <w:szCs w:val="28"/>
        </w:rPr>
        <w:t>5、柜体颜色由医院确定</w:t>
      </w:r>
      <w:r>
        <w:rPr>
          <w:rFonts w:hint="eastAsia" w:ascii="仿宋" w:hAnsi="仿宋" w:eastAsia="仿宋" w:cs="仿宋"/>
          <w:color w:val="0000FF"/>
          <w:sz w:val="28"/>
          <w:szCs w:val="28"/>
          <w:lang w:eastAsia="zh-CN"/>
        </w:rPr>
        <w:t>（</w:t>
      </w:r>
      <w:r>
        <w:rPr>
          <w:rFonts w:hint="eastAsia" w:ascii="仿宋" w:hAnsi="仿宋" w:eastAsia="仿宋" w:cs="仿宋"/>
          <w:color w:val="0000FF"/>
          <w:sz w:val="28"/>
          <w:szCs w:val="28"/>
          <w:lang w:val="en-US" w:eastAsia="zh-CN"/>
        </w:rPr>
        <w:t>根据医院不同科室定制</w:t>
      </w:r>
      <w:r>
        <w:rPr>
          <w:rFonts w:hint="eastAsia" w:ascii="仿宋" w:hAnsi="仿宋" w:eastAsia="仿宋" w:cs="仿宋"/>
          <w:color w:val="0000FF"/>
          <w:sz w:val="28"/>
          <w:szCs w:val="28"/>
          <w:lang w:eastAsia="zh-CN"/>
        </w:rPr>
        <w:t>）</w:t>
      </w:r>
      <w:r>
        <w:rPr>
          <w:rFonts w:hint="eastAsia" w:ascii="仿宋" w:hAnsi="仿宋" w:eastAsia="仿宋" w:cs="仿宋"/>
          <w:color w:val="0000FF"/>
          <w:sz w:val="28"/>
          <w:szCs w:val="28"/>
        </w:rPr>
        <w:t>。</w:t>
      </w:r>
    </w:p>
    <w:p>
      <w:pPr>
        <w:spacing w:line="192" w:lineRule="auto"/>
        <w:ind w:left="-420" w:leftChars="-200"/>
        <w:jc w:val="left"/>
        <w:rPr>
          <w:rFonts w:ascii="仿宋" w:hAnsi="仿宋" w:eastAsia="仿宋" w:cs="仿宋"/>
          <w:sz w:val="28"/>
          <w:szCs w:val="28"/>
        </w:rPr>
      </w:pPr>
    </w:p>
    <w:p>
      <w:r>
        <w:br w:type="page"/>
      </w:r>
    </w:p>
    <w:p>
      <w:pPr>
        <w:pStyle w:val="2"/>
      </w:pP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蚌埠市第一人民医院和禹会分院病床及床头柜采购及安装项目采购意向及需求公示的反馈意见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针对蚌埠市第一人民医院和禹会分院病床及床头柜采购及安装项目,采购意向及需求公示，我单位反馈意见如下：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0"/>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3"/>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5BB0E6A"/>
    <w:rsid w:val="07884358"/>
    <w:rsid w:val="088157DD"/>
    <w:rsid w:val="102871DA"/>
    <w:rsid w:val="19E1315F"/>
    <w:rsid w:val="1A4F03D7"/>
    <w:rsid w:val="1A5F0800"/>
    <w:rsid w:val="20701E96"/>
    <w:rsid w:val="2D925870"/>
    <w:rsid w:val="3A59465F"/>
    <w:rsid w:val="3D3F4BEA"/>
    <w:rsid w:val="44C73830"/>
    <w:rsid w:val="45156B9E"/>
    <w:rsid w:val="480656EC"/>
    <w:rsid w:val="4D071309"/>
    <w:rsid w:val="558D68E8"/>
    <w:rsid w:val="56DD42FB"/>
    <w:rsid w:val="5C6E4623"/>
    <w:rsid w:val="5D480901"/>
    <w:rsid w:val="5F2B5C40"/>
    <w:rsid w:val="5FF4532C"/>
    <w:rsid w:val="630E2FA0"/>
    <w:rsid w:val="63985972"/>
    <w:rsid w:val="67EF7DEE"/>
    <w:rsid w:val="68ED244F"/>
    <w:rsid w:val="6D663E0B"/>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unhideWhenUsed/>
    <w:qFormat/>
    <w:uiPriority w:val="99"/>
    <w:pPr>
      <w:tabs>
        <w:tab w:val="center" w:pos="4153"/>
        <w:tab w:val="right" w:pos="8306"/>
      </w:tabs>
      <w:snapToGrid w:val="0"/>
      <w:jc w:val="left"/>
    </w:pPr>
    <w:rPr>
      <w:sz w:val="18"/>
      <w:szCs w:val="18"/>
    </w:rPr>
  </w:style>
  <w:style w:type="paragraph" w:styleId="4">
    <w:name w:val="annotation text"/>
    <w:basedOn w:val="1"/>
    <w:link w:val="22"/>
    <w:semiHidden/>
    <w:unhideWhenUsed/>
    <w:qFormat/>
    <w:uiPriority w:val="99"/>
    <w:pPr>
      <w:jc w:val="left"/>
    </w:pPr>
  </w:style>
  <w:style w:type="paragraph" w:styleId="5">
    <w:name w:val="Body Text Indent"/>
    <w:basedOn w:val="1"/>
    <w:next w:val="6"/>
    <w:qFormat/>
    <w:uiPriority w:val="0"/>
    <w:pPr>
      <w:ind w:left="420" w:leftChars="200"/>
    </w:pPr>
  </w:style>
  <w:style w:type="paragraph" w:styleId="6">
    <w:name w:val="envelope return"/>
    <w:basedOn w:val="1"/>
    <w:qFormat/>
    <w:uiPriority w:val="0"/>
    <w:pPr>
      <w:snapToGrid w:val="0"/>
    </w:pPr>
    <w:rPr>
      <w:rFonts w:ascii="Arial" w:hAnsi="Arial" w:cs="Arial"/>
    </w:rPr>
  </w:style>
  <w:style w:type="paragraph" w:styleId="7">
    <w:name w:val="Balloon Text"/>
    <w:basedOn w:val="1"/>
    <w:link w:val="24"/>
    <w:semiHidden/>
    <w:unhideWhenUsed/>
    <w:qFormat/>
    <w:uiPriority w:val="99"/>
    <w:rPr>
      <w:sz w:val="18"/>
      <w:szCs w:val="18"/>
    </w:rPr>
  </w:style>
  <w:style w:type="paragraph" w:styleId="8">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Normal (Web)"/>
    <w:basedOn w:val="1"/>
    <w:unhideWhenUsed/>
    <w:qFormat/>
    <w:uiPriority w:val="0"/>
    <w:pPr>
      <w:spacing w:beforeAutospacing="1" w:afterAutospacing="1"/>
      <w:jc w:val="left"/>
    </w:pPr>
    <w:rPr>
      <w:kern w:val="0"/>
      <w:sz w:val="24"/>
    </w:rPr>
  </w:style>
  <w:style w:type="paragraph" w:styleId="11">
    <w:name w:val="annotation subject"/>
    <w:basedOn w:val="4"/>
    <w:next w:val="4"/>
    <w:link w:val="23"/>
    <w:semiHidden/>
    <w:unhideWhenUsed/>
    <w:qFormat/>
    <w:uiPriority w:val="99"/>
    <w:rPr>
      <w:b/>
      <w:bCs/>
    </w:rPr>
  </w:style>
  <w:style w:type="paragraph" w:styleId="12">
    <w:name w:val="Body Text First Indent 2"/>
    <w:basedOn w:val="5"/>
    <w:next w:val="1"/>
    <w:qFormat/>
    <w:uiPriority w:val="0"/>
    <w:pPr>
      <w:ind w:firstLine="420" w:firstLineChars="200"/>
    </w:pPr>
  </w:style>
  <w:style w:type="table" w:styleId="14">
    <w:name w:val="Table Grid"/>
    <w:basedOn w:val="13"/>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qFormat/>
    <w:uiPriority w:val="0"/>
  </w:style>
  <w:style w:type="character" w:styleId="17">
    <w:name w:val="annotation reference"/>
    <w:basedOn w:val="15"/>
    <w:semiHidden/>
    <w:unhideWhenUsed/>
    <w:qFormat/>
    <w:uiPriority w:val="99"/>
    <w:rPr>
      <w:sz w:val="21"/>
      <w:szCs w:val="21"/>
    </w:rPr>
  </w:style>
  <w:style w:type="character" w:customStyle="1" w:styleId="18">
    <w:name w:val="页眉 Char"/>
    <w:basedOn w:val="15"/>
    <w:link w:val="8"/>
    <w:semiHidden/>
    <w:qFormat/>
    <w:uiPriority w:val="99"/>
    <w:rPr>
      <w:sz w:val="18"/>
      <w:szCs w:val="18"/>
    </w:rPr>
  </w:style>
  <w:style w:type="character" w:customStyle="1" w:styleId="19">
    <w:name w:val="页脚 Char"/>
    <w:basedOn w:val="15"/>
    <w:link w:val="2"/>
    <w:semiHidden/>
    <w:qFormat/>
    <w:uiPriority w:val="99"/>
    <w:rPr>
      <w:sz w:val="18"/>
      <w:szCs w:val="18"/>
    </w:rPr>
  </w:style>
  <w:style w:type="paragraph" w:customStyle="1" w:styleId="20">
    <w:name w:val="列出段落1"/>
    <w:basedOn w:val="1"/>
    <w:qFormat/>
    <w:uiPriority w:val="34"/>
    <w:pPr>
      <w:ind w:firstLine="420" w:firstLineChars="200"/>
    </w:pPr>
  </w:style>
  <w:style w:type="paragraph" w:styleId="21">
    <w:name w:val="List Paragraph"/>
    <w:basedOn w:val="1"/>
    <w:unhideWhenUsed/>
    <w:qFormat/>
    <w:uiPriority w:val="99"/>
    <w:pPr>
      <w:ind w:firstLine="420" w:firstLineChars="200"/>
    </w:pPr>
  </w:style>
  <w:style w:type="character" w:customStyle="1" w:styleId="22">
    <w:name w:val="批注文字 Char"/>
    <w:basedOn w:val="15"/>
    <w:link w:val="4"/>
    <w:semiHidden/>
    <w:qFormat/>
    <w:uiPriority w:val="99"/>
    <w:rPr>
      <w:kern w:val="2"/>
      <w:sz w:val="21"/>
      <w:szCs w:val="22"/>
    </w:rPr>
  </w:style>
  <w:style w:type="character" w:customStyle="1" w:styleId="23">
    <w:name w:val="批注主题 Char"/>
    <w:basedOn w:val="22"/>
    <w:link w:val="11"/>
    <w:semiHidden/>
    <w:qFormat/>
    <w:uiPriority w:val="99"/>
    <w:rPr>
      <w:b/>
      <w:bCs/>
    </w:rPr>
  </w:style>
  <w:style w:type="character" w:customStyle="1" w:styleId="24">
    <w:name w:val="批注框文本 Char"/>
    <w:basedOn w:val="15"/>
    <w:link w:val="7"/>
    <w:semiHidden/>
    <w:qFormat/>
    <w:uiPriority w:val="99"/>
    <w:rPr>
      <w:kern w:val="2"/>
      <w:sz w:val="18"/>
      <w:szCs w:val="18"/>
    </w:rPr>
  </w:style>
  <w:style w:type="paragraph" w:customStyle="1" w:styleId="25">
    <w:name w:val="正文11"/>
    <w:basedOn w:val="1"/>
    <w:qFormat/>
    <w:uiPriority w:val="0"/>
    <w:pPr>
      <w:adjustRightInd w:val="0"/>
      <w:spacing w:line="318" w:lineRule="atLeast"/>
      <w:ind w:left="369" w:firstLine="369"/>
      <w:textAlignment w:val="baseline"/>
    </w:pPr>
    <w:rPr>
      <w:rFonts w:ascii="宋体" w:hAnsi="Calibri"/>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1924</Words>
  <Characters>2110</Characters>
  <Lines>57</Lines>
  <Paragraphs>16</Paragraphs>
  <TotalTime>2</TotalTime>
  <ScaleCrop>false</ScaleCrop>
  <LinksUpToDate>false</LinksUpToDate>
  <CharactersWithSpaces>2129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2023-04-03T08:44:23Z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0AF1B84925874ABE9927A447F1A73045</vt:lpwstr>
  </property>
</Properties>
</file>