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atLeast"/>
        <w:rPr>
          <w:rFonts w:ascii="宋体" w:hAnsi="宋体" w:cs="宋体"/>
          <w:kern w:val="0"/>
          <w:sz w:val="36"/>
          <w:szCs w:val="36"/>
          <w:shd w:val="clear" w:color="auto" w:fill="FFFFFF"/>
        </w:rPr>
      </w:pPr>
    </w:p>
    <w:p>
      <w:pPr>
        <w:widowControl/>
        <w:spacing w:line="600" w:lineRule="atLeast"/>
        <w:jc w:val="center"/>
        <w:rPr>
          <w:rFonts w:hint="eastAsia" w:ascii="宋体" w:hAnsi="宋体" w:cs="宋体"/>
          <w:kern w:val="0"/>
          <w:sz w:val="72"/>
          <w:szCs w:val="72"/>
          <w:shd w:val="clear" w:color="auto" w:fill="FFFFFF"/>
        </w:rPr>
      </w:pPr>
      <w:r>
        <w:rPr>
          <w:rFonts w:hint="eastAsia" w:ascii="宋体" w:hAnsi="宋体" w:cs="宋体"/>
          <w:kern w:val="0"/>
          <w:sz w:val="72"/>
          <w:szCs w:val="72"/>
          <w:shd w:val="clear" w:color="auto" w:fill="FFFFFF"/>
        </w:rPr>
        <w:t>蚌埠二院医学视光中心采购一批耗材项目</w:t>
      </w:r>
    </w:p>
    <w:p>
      <w:pPr>
        <w:pStyle w:val="2"/>
        <w:rPr>
          <w:rFonts w:hint="eastAsia"/>
        </w:rPr>
      </w:pP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2"/>
        <w:ind w:firstLine="560"/>
        <w:rPr>
          <w:sz w:val="28"/>
          <w:szCs w:val="28"/>
        </w:rPr>
      </w:pPr>
    </w:p>
    <w:p>
      <w:pPr>
        <w:ind w:firstLine="1680" w:firstLineChars="600"/>
        <w:jc w:val="left"/>
        <w:rPr>
          <w:rFonts w:ascii="宋体" w:hAnsi="宋体" w:cs="宋体"/>
          <w:sz w:val="28"/>
          <w:szCs w:val="28"/>
          <w:u w:val="single"/>
        </w:rPr>
      </w:pPr>
      <w:r>
        <w:rPr>
          <w:rFonts w:hint="eastAsia" w:ascii="宋体" w:hAnsi="宋体" w:cs="宋体"/>
          <w:sz w:val="28"/>
          <w:szCs w:val="28"/>
        </w:rPr>
        <w:t>编制单位：</w:t>
      </w:r>
      <w:r>
        <w:rPr>
          <w:rFonts w:hint="eastAsia" w:ascii="宋体" w:hAnsi="宋体" w:cs="宋体"/>
          <w:sz w:val="28"/>
          <w:szCs w:val="28"/>
          <w:u w:val="single"/>
        </w:rPr>
        <w:t>蚌埠市第</w:t>
      </w:r>
      <w:r>
        <w:rPr>
          <w:rFonts w:hint="eastAsia" w:ascii="宋体" w:hAnsi="宋体" w:cs="宋体"/>
          <w:sz w:val="28"/>
          <w:szCs w:val="28"/>
          <w:u w:val="single"/>
          <w:lang w:val="en-US" w:eastAsia="zh-CN"/>
        </w:rPr>
        <w:t>二</w:t>
      </w:r>
      <w:r>
        <w:rPr>
          <w:rFonts w:hint="eastAsia" w:ascii="宋体" w:hAnsi="宋体" w:cs="宋体"/>
          <w:sz w:val="28"/>
          <w:szCs w:val="28"/>
          <w:u w:val="single"/>
        </w:rPr>
        <w:t>人民医院</w:t>
      </w:r>
    </w:p>
    <w:p>
      <w:pPr>
        <w:pStyle w:val="2"/>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w:t>
      </w:r>
      <w:r>
        <w:rPr>
          <w:rFonts w:hint="eastAsia" w:ascii="宋体" w:hAnsi="宋体" w:cs="宋体"/>
          <w:sz w:val="28"/>
          <w:szCs w:val="28"/>
          <w:u w:val="single"/>
          <w:lang w:val="en-US" w:eastAsia="zh-CN"/>
        </w:rPr>
        <w:t>3</w:t>
      </w:r>
      <w:r>
        <w:rPr>
          <w:rFonts w:hint="eastAsia" w:ascii="宋体" w:hAnsi="宋体" w:cs="宋体"/>
          <w:sz w:val="28"/>
          <w:szCs w:val="28"/>
          <w:u w:val="single"/>
        </w:rPr>
        <w:t>年</w:t>
      </w:r>
      <w:r>
        <w:rPr>
          <w:rFonts w:hint="eastAsia" w:ascii="宋体" w:hAnsi="宋体" w:cs="宋体"/>
          <w:sz w:val="28"/>
          <w:szCs w:val="28"/>
          <w:u w:val="single"/>
          <w:lang w:val="en-US" w:eastAsia="zh-CN"/>
        </w:rPr>
        <w:t>7</w:t>
      </w:r>
      <w:r>
        <w:rPr>
          <w:rFonts w:hint="eastAsia" w:ascii="宋体" w:hAnsi="宋体" w:cs="宋体"/>
          <w:sz w:val="28"/>
          <w:szCs w:val="28"/>
          <w:u w:val="single"/>
        </w:rPr>
        <w:t>月</w:t>
      </w:r>
      <w:r>
        <w:rPr>
          <w:rFonts w:hint="eastAsia" w:ascii="宋体" w:hAnsi="宋体" w:cs="宋体"/>
          <w:sz w:val="28"/>
          <w:szCs w:val="28"/>
          <w:u w:val="single"/>
          <w:lang w:val="en-US" w:eastAsia="zh-CN"/>
        </w:rPr>
        <w:t>10</w:t>
      </w:r>
      <w:r>
        <w:rPr>
          <w:rFonts w:hint="eastAsia" w:ascii="宋体" w:hAnsi="宋体" w:cs="宋体"/>
          <w:sz w:val="28"/>
          <w:szCs w:val="28"/>
          <w:u w:val="single"/>
        </w:rPr>
        <w:t>日</w:t>
      </w:r>
    </w:p>
    <w:p>
      <w:pPr>
        <w:widowControl/>
        <w:spacing w:after="120" w:line="460" w:lineRule="exact"/>
        <w:rPr>
          <w:kern w:val="0"/>
          <w:shd w:val="clear" w:color="auto" w:fill="FFFFFF"/>
        </w:rPr>
      </w:pPr>
    </w:p>
    <w:p>
      <w:pPr>
        <w:pStyle w:val="2"/>
        <w:rPr>
          <w:kern w:val="0"/>
          <w:shd w:val="clear" w:color="auto" w:fill="FFFFFF"/>
        </w:rPr>
      </w:pPr>
    </w:p>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pStyle w:val="2"/>
        <w:ind w:left="0" w:leftChars="0" w:firstLine="0" w:firstLineChars="0"/>
        <w:rPr>
          <w:kern w:val="0"/>
          <w:shd w:val="clear" w:color="auto" w:fill="FFFFFF"/>
        </w:rPr>
      </w:pPr>
    </w:p>
    <w:p>
      <w:pPr>
        <w:pStyle w:val="2"/>
        <w:rPr>
          <w:kern w:val="0"/>
          <w:shd w:val="clear" w:color="auto" w:fill="FFFFFF"/>
        </w:rPr>
      </w:pPr>
    </w:p>
    <w:p>
      <w:pPr>
        <w:widowControl/>
        <w:numPr>
          <w:ilvl w:val="0"/>
          <w:numId w:val="2"/>
        </w:numPr>
        <w:snapToGrid w:val="0"/>
        <w:spacing w:line="360" w:lineRule="auto"/>
        <w:jc w:val="left"/>
        <w:rPr>
          <w:rFonts w:hint="eastAsia" w:ascii="宋体" w:hAnsi="宋体" w:cs="宋体"/>
          <w:kern w:val="0"/>
          <w:sz w:val="24"/>
          <w:szCs w:val="24"/>
          <w:shd w:val="clear" w:color="auto" w:fill="FFFFFF"/>
        </w:rPr>
      </w:pPr>
      <w:r>
        <w:rPr>
          <w:rFonts w:hint="eastAsia" w:ascii="宋体" w:hAnsi="宋体" w:cs="宋体"/>
          <w:kern w:val="0"/>
          <w:sz w:val="24"/>
          <w:szCs w:val="24"/>
          <w:shd w:val="clear" w:color="auto" w:fill="FFFFFF"/>
        </w:rPr>
        <w:t>项目名称：蚌埠二院医学视光中心采购一批耗材项目</w:t>
      </w:r>
      <w:r>
        <w:rPr>
          <w:rFonts w:hint="eastAsia" w:ascii="宋体" w:hAnsi="宋体" w:cs="宋体"/>
          <w:kern w:val="0"/>
          <w:sz w:val="24"/>
          <w:szCs w:val="24"/>
          <w:shd w:val="clear" w:color="auto" w:fill="FFFFFF"/>
          <w:lang w:eastAsia="zh-CN"/>
        </w:rPr>
        <w:t>；</w:t>
      </w:r>
    </w:p>
    <w:p>
      <w:pPr>
        <w:widowControl/>
        <w:numPr>
          <w:ilvl w:val="0"/>
          <w:numId w:val="0"/>
        </w:numPr>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2、采购人：蚌埠市第</w:t>
      </w:r>
      <w:r>
        <w:rPr>
          <w:rFonts w:hint="eastAsia" w:ascii="宋体" w:hAnsi="宋体" w:cs="宋体"/>
          <w:kern w:val="0"/>
          <w:sz w:val="24"/>
          <w:szCs w:val="24"/>
          <w:shd w:val="clear" w:color="auto" w:fill="FFFFFF"/>
          <w:lang w:val="en-US" w:eastAsia="zh-CN"/>
        </w:rPr>
        <w:t>二</w:t>
      </w:r>
      <w:r>
        <w:rPr>
          <w:rFonts w:hint="eastAsia" w:ascii="宋体" w:hAnsi="宋体" w:cs="宋体"/>
          <w:kern w:val="0"/>
          <w:sz w:val="24"/>
          <w:szCs w:val="24"/>
          <w:shd w:val="clear" w:color="auto" w:fill="FFFFFF"/>
        </w:rPr>
        <w:t>人民医院</w:t>
      </w:r>
      <w:r>
        <w:rPr>
          <w:rFonts w:hint="eastAsia" w:ascii="宋体" w:hAnsi="宋体" w:cs="宋体"/>
          <w:kern w:val="0"/>
          <w:sz w:val="24"/>
          <w:szCs w:val="24"/>
          <w:shd w:val="clear" w:color="auto" w:fill="FFFFFF"/>
          <w:lang w:eastAsia="zh-CN"/>
        </w:rPr>
        <w:t>；</w:t>
      </w:r>
      <w:r>
        <w:rPr>
          <w:rFonts w:hint="eastAsia" w:ascii="宋体" w:hAnsi="宋体" w:cs="宋体"/>
          <w:kern w:val="0"/>
          <w:sz w:val="24"/>
          <w:szCs w:val="24"/>
          <w:shd w:val="clear" w:color="auto" w:fill="FFFFFF"/>
        </w:rPr>
        <w:t xml:space="preserve">   </w:t>
      </w:r>
    </w:p>
    <w:p>
      <w:pPr>
        <w:widowControl/>
        <w:snapToGrid w:val="0"/>
        <w:spacing w:line="360" w:lineRule="auto"/>
        <w:jc w:val="left"/>
        <w:rPr>
          <w:rFonts w:hint="eastAsia" w:ascii="宋体" w:hAnsi="宋体" w:cs="宋体" w:eastAsiaTheme="minorEastAsia"/>
          <w:kern w:val="0"/>
          <w:sz w:val="24"/>
          <w:szCs w:val="24"/>
          <w:shd w:val="clear" w:color="auto" w:fill="FFFFFF"/>
          <w:lang w:eastAsia="zh-CN"/>
        </w:rPr>
      </w:pPr>
      <w:r>
        <w:rPr>
          <w:rFonts w:hint="eastAsia" w:ascii="宋体" w:hAnsi="宋体" w:cs="宋体"/>
          <w:kern w:val="0"/>
          <w:sz w:val="24"/>
          <w:szCs w:val="24"/>
          <w:shd w:val="clear" w:color="auto" w:fill="FFFFFF"/>
        </w:rPr>
        <w:t>3、资金来源：自筹资金</w:t>
      </w:r>
      <w:r>
        <w:rPr>
          <w:rFonts w:hint="eastAsia" w:ascii="宋体" w:hAnsi="宋体" w:cs="宋体"/>
          <w:kern w:val="0"/>
          <w:sz w:val="24"/>
          <w:szCs w:val="24"/>
          <w:shd w:val="clear" w:color="auto" w:fill="FFFFFF"/>
          <w:lang w:eastAsia="zh-CN"/>
        </w:rPr>
        <w:t>；</w:t>
      </w:r>
    </w:p>
    <w:p>
      <w:pPr>
        <w:widowControl/>
        <w:snapToGrid w:val="0"/>
        <w:spacing w:line="360" w:lineRule="auto"/>
        <w:jc w:val="left"/>
        <w:rPr>
          <w:rFonts w:hint="eastAsia" w:ascii="宋体" w:hAnsi="宋体" w:cs="宋体" w:eastAsiaTheme="minorEastAsia"/>
          <w:kern w:val="0"/>
          <w:sz w:val="24"/>
          <w:szCs w:val="24"/>
          <w:shd w:val="clear" w:color="auto" w:fill="FFFFFF"/>
          <w:lang w:eastAsia="zh-CN"/>
        </w:rPr>
      </w:pPr>
      <w:r>
        <w:rPr>
          <w:rFonts w:hint="eastAsia" w:ascii="宋体" w:hAnsi="宋体" w:cs="宋体"/>
          <w:kern w:val="0"/>
          <w:sz w:val="24"/>
          <w:szCs w:val="24"/>
          <w:shd w:val="clear" w:color="auto" w:fill="FFFFFF"/>
        </w:rPr>
        <w:t>4、项目编号： ZCGF-BBEY-2023047</w:t>
      </w:r>
      <w:r>
        <w:rPr>
          <w:rFonts w:hint="eastAsia" w:ascii="宋体" w:hAnsi="宋体" w:cs="宋体"/>
          <w:kern w:val="0"/>
          <w:sz w:val="24"/>
          <w:szCs w:val="24"/>
          <w:shd w:val="clear" w:color="auto" w:fill="FFFFFF"/>
          <w:lang w:eastAsia="zh-CN"/>
        </w:rPr>
        <w:t>；</w:t>
      </w:r>
    </w:p>
    <w:p>
      <w:pPr>
        <w:widowControl/>
        <w:snapToGrid w:val="0"/>
        <w:spacing w:line="360" w:lineRule="auto"/>
        <w:jc w:val="left"/>
        <w:rPr>
          <w:rFonts w:hint="eastAsia" w:ascii="宋体" w:hAnsi="宋体" w:cs="宋体" w:eastAsiaTheme="minorEastAsia"/>
          <w:kern w:val="0"/>
          <w:sz w:val="24"/>
          <w:szCs w:val="24"/>
          <w:highlight w:val="none"/>
          <w:shd w:val="clear" w:color="auto" w:fill="FFFFFF"/>
          <w:lang w:eastAsia="zh-CN"/>
        </w:rPr>
      </w:pPr>
      <w:r>
        <w:rPr>
          <w:rFonts w:hint="eastAsia" w:ascii="宋体" w:hAnsi="宋体" w:cs="宋体"/>
          <w:kern w:val="0"/>
          <w:sz w:val="24"/>
          <w:szCs w:val="24"/>
          <w:highlight w:val="none"/>
          <w:shd w:val="clear" w:color="auto" w:fill="FFFFFF"/>
        </w:rPr>
        <w:t>5、主要内容：蚌埠二院医学视光中心采购一批耗材项目，详见采购需求</w:t>
      </w:r>
      <w:r>
        <w:rPr>
          <w:rFonts w:hint="eastAsia" w:ascii="宋体" w:hAnsi="宋体" w:cs="宋体"/>
          <w:kern w:val="0"/>
          <w:sz w:val="24"/>
          <w:szCs w:val="24"/>
          <w:highlight w:val="none"/>
          <w:shd w:val="clear" w:color="auto" w:fill="FFFFFF"/>
          <w:lang w:eastAsia="zh-CN"/>
        </w:rPr>
        <w:t>；</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6、采购金额： 01包：85万元/年；02包：无预算；03包：20万/年；</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 xml:space="preserve">7、合同履行期：3年；  </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8、拟采用的评审方法：综合评分法；</w:t>
      </w:r>
    </w:p>
    <w:p>
      <w:pPr>
        <w:widowControl/>
        <w:snapToGrid w:val="0"/>
        <w:spacing w:line="360" w:lineRule="auto"/>
        <w:jc w:val="left"/>
        <w:rPr>
          <w:rFonts w:hint="eastAsia" w:ascii="宋体" w:hAnsi="宋体" w:cs="宋体"/>
          <w:color w:val="auto"/>
          <w:kern w:val="0"/>
          <w:sz w:val="24"/>
          <w:szCs w:val="24"/>
          <w:shd w:val="clear" w:color="auto" w:fill="FFFFFF"/>
          <w:lang w:val="zh-CN" w:eastAsia="zh-CN"/>
        </w:rPr>
      </w:pPr>
      <w:r>
        <w:rPr>
          <w:rFonts w:hint="eastAsia" w:ascii="宋体" w:hAnsi="宋体" w:cs="宋体"/>
          <w:color w:val="auto"/>
          <w:kern w:val="0"/>
          <w:sz w:val="24"/>
          <w:szCs w:val="24"/>
          <w:shd w:val="clear" w:color="auto" w:fill="FFFFFF"/>
          <w:lang w:val="en-US" w:eastAsia="zh-CN"/>
        </w:rPr>
        <w:t>9、拟采用的采购方式：竞争性磋商；</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10、付款方式：付款周期为 3 个月，例如供货第 1 个月的货款第 4 个月结算，第 2 个月的货款第 5 个月结算，中标人依据实际供货数量及价格向招标人开具正规发票；</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11、供货要求：接医院通知后，按医院要求时间进行供货；</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12、保修期：1年；</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13、</w:t>
      </w:r>
      <w:r>
        <w:rPr>
          <w:rFonts w:hint="default" w:ascii="宋体" w:hAnsi="宋体" w:cs="宋体"/>
          <w:color w:val="auto"/>
          <w:kern w:val="0"/>
          <w:sz w:val="24"/>
          <w:szCs w:val="24"/>
          <w:shd w:val="clear" w:color="auto" w:fill="FFFFFF"/>
          <w:lang w:val="en-US" w:eastAsia="zh-CN"/>
        </w:rPr>
        <w:t>供货地点</w:t>
      </w:r>
      <w:r>
        <w:rPr>
          <w:rFonts w:hint="eastAsia" w:ascii="宋体" w:hAnsi="宋体" w:cs="宋体"/>
          <w:color w:val="auto"/>
          <w:kern w:val="0"/>
          <w:sz w:val="24"/>
          <w:szCs w:val="24"/>
          <w:shd w:val="clear" w:color="auto" w:fill="FFFFFF"/>
          <w:lang w:val="en-US" w:eastAsia="zh-CN"/>
        </w:rPr>
        <w:t>：采购人指定地点；</w:t>
      </w:r>
    </w:p>
    <w:p>
      <w:pPr>
        <w:pStyle w:val="2"/>
        <w:ind w:left="0" w:leftChars="0" w:firstLine="0" w:firstLineChars="0"/>
        <w:rPr>
          <w:rFonts w:hint="default" w:ascii="宋体" w:hAnsi="宋体" w:cs="宋体" w:eastAsiaTheme="minorEastAsia"/>
          <w:color w:val="auto"/>
          <w:kern w:val="0"/>
          <w:sz w:val="24"/>
          <w:szCs w:val="24"/>
          <w:shd w:val="clear" w:color="auto" w:fill="FFFFFF"/>
          <w:lang w:val="en-US" w:eastAsia="zh-CN" w:bidi="ar-SA"/>
        </w:rPr>
      </w:pPr>
      <w:r>
        <w:rPr>
          <w:rFonts w:hint="eastAsia" w:ascii="宋体" w:hAnsi="宋体" w:cs="宋体"/>
          <w:color w:val="auto"/>
          <w:kern w:val="0"/>
          <w:sz w:val="24"/>
          <w:szCs w:val="24"/>
          <w:shd w:val="clear" w:color="auto" w:fill="FFFFFF"/>
          <w:lang w:val="en-US" w:eastAsia="zh-CN" w:bidi="ar-SA"/>
        </w:rPr>
        <w:t>14、</w:t>
      </w:r>
      <w:r>
        <w:rPr>
          <w:rFonts w:hint="default" w:ascii="宋体" w:hAnsi="宋体" w:cs="宋体" w:eastAsiaTheme="minorEastAsia"/>
          <w:color w:val="auto"/>
          <w:kern w:val="0"/>
          <w:sz w:val="24"/>
          <w:szCs w:val="24"/>
          <w:shd w:val="clear" w:color="auto" w:fill="FFFFFF"/>
          <w:lang w:val="en-US" w:eastAsia="zh-CN" w:bidi="ar-SA"/>
        </w:rPr>
        <w:t>采购需求：本项目共3个包，可兼投兼中，具体分包情况详见下表；</w:t>
      </w:r>
    </w:p>
    <w:tbl>
      <w:tblPr>
        <w:tblStyle w:val="15"/>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9"/>
        <w:gridCol w:w="1748"/>
        <w:gridCol w:w="1655"/>
        <w:gridCol w:w="1636"/>
        <w:gridCol w:w="1276"/>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739" w:type="dxa"/>
            <w:tcBorders>
              <w:top w:val="single" w:color="auto" w:sz="4" w:space="0"/>
              <w:left w:val="single" w:color="auto" w:sz="4" w:space="0"/>
              <w:bottom w:val="single" w:color="auto" w:sz="4" w:space="0"/>
              <w:right w:val="single" w:color="auto" w:sz="4" w:space="0"/>
            </w:tcBorders>
            <w:shd w:val="clear" w:color="auto" w:fill="auto"/>
          </w:tcPr>
          <w:p>
            <w:pPr>
              <w:rPr>
                <w:rFonts w:hint="default" w:ascii="宋体" w:hAnsi="宋体" w:cs="宋体" w:eastAsiaTheme="minorEastAsia"/>
                <w:color w:val="auto"/>
                <w:kern w:val="0"/>
                <w:sz w:val="24"/>
                <w:szCs w:val="24"/>
                <w:shd w:val="clear" w:color="auto" w:fill="FFFFFF"/>
                <w:lang w:val="en-US" w:eastAsia="zh-CN" w:bidi="ar-SA"/>
              </w:rPr>
            </w:pPr>
            <w:r>
              <w:rPr>
                <w:rFonts w:hint="eastAsia" w:ascii="宋体" w:hAnsi="宋体" w:cs="宋体" w:eastAsiaTheme="minorEastAsia"/>
                <w:color w:val="auto"/>
                <w:kern w:val="0"/>
                <w:sz w:val="24"/>
                <w:szCs w:val="24"/>
                <w:shd w:val="clear" w:color="auto" w:fill="FFFFFF"/>
                <w:lang w:val="en-US" w:eastAsia="zh-CN" w:bidi="ar-SA"/>
              </w:rPr>
              <w:t>包号</w:t>
            </w:r>
          </w:p>
        </w:tc>
        <w:tc>
          <w:tcPr>
            <w:tcW w:w="1748" w:type="dxa"/>
            <w:tcBorders>
              <w:top w:val="single" w:color="auto" w:sz="4" w:space="0"/>
              <w:left w:val="single" w:color="auto" w:sz="4" w:space="0"/>
              <w:bottom w:val="single" w:color="auto" w:sz="4" w:space="0"/>
              <w:right w:val="single" w:color="auto" w:sz="4" w:space="0"/>
            </w:tcBorders>
            <w:shd w:val="clear" w:color="auto" w:fill="auto"/>
          </w:tcPr>
          <w:p>
            <w:pPr>
              <w:ind w:firstLine="240" w:firstLineChars="100"/>
              <w:rPr>
                <w:rFonts w:hint="default" w:ascii="宋体" w:hAnsi="宋体" w:cs="宋体" w:eastAsiaTheme="minorEastAsia"/>
                <w:color w:val="auto"/>
                <w:kern w:val="0"/>
                <w:sz w:val="24"/>
                <w:szCs w:val="24"/>
                <w:shd w:val="clear" w:color="auto" w:fill="FFFFFF"/>
                <w:lang w:val="en-US" w:eastAsia="zh-CN" w:bidi="ar-SA"/>
              </w:rPr>
            </w:pPr>
            <w:r>
              <w:rPr>
                <w:rFonts w:hint="eastAsia" w:ascii="宋体" w:hAnsi="宋体" w:cs="宋体" w:eastAsiaTheme="minorEastAsia"/>
                <w:color w:val="auto"/>
                <w:kern w:val="0"/>
                <w:sz w:val="24"/>
                <w:szCs w:val="24"/>
                <w:shd w:val="clear" w:color="auto" w:fill="FFFFFF"/>
                <w:lang w:val="en-US" w:eastAsia="zh-CN" w:bidi="ar-SA"/>
              </w:rPr>
              <w:t>采购内容</w:t>
            </w:r>
          </w:p>
        </w:tc>
        <w:tc>
          <w:tcPr>
            <w:tcW w:w="1655" w:type="dxa"/>
            <w:tcBorders>
              <w:top w:val="single" w:color="auto" w:sz="4" w:space="0"/>
              <w:left w:val="single" w:color="auto" w:sz="4" w:space="0"/>
              <w:bottom w:val="single" w:color="auto" w:sz="4" w:space="0"/>
              <w:right w:val="single" w:color="auto" w:sz="4" w:space="0"/>
            </w:tcBorders>
            <w:shd w:val="clear" w:color="auto" w:fill="auto"/>
          </w:tcPr>
          <w:p>
            <w:pPr>
              <w:rPr>
                <w:rFonts w:hint="default" w:ascii="宋体" w:hAnsi="宋体" w:cs="宋体" w:eastAsiaTheme="minorEastAsia"/>
                <w:color w:val="auto"/>
                <w:kern w:val="0"/>
                <w:sz w:val="24"/>
                <w:szCs w:val="24"/>
                <w:shd w:val="clear" w:color="auto" w:fill="FFFFFF"/>
                <w:lang w:val="en-US" w:eastAsia="zh-CN" w:bidi="ar-SA"/>
              </w:rPr>
            </w:pPr>
            <w:r>
              <w:rPr>
                <w:rFonts w:hint="eastAsia" w:ascii="宋体" w:hAnsi="宋体" w:cs="宋体" w:eastAsiaTheme="minorEastAsia"/>
                <w:color w:val="auto"/>
                <w:kern w:val="0"/>
                <w:sz w:val="24"/>
                <w:szCs w:val="24"/>
                <w:shd w:val="clear" w:color="auto" w:fill="FFFFFF"/>
                <w:lang w:val="en-US" w:eastAsia="zh-CN" w:bidi="ar-SA"/>
              </w:rPr>
              <w:t>规格</w:t>
            </w:r>
            <w:r>
              <w:rPr>
                <w:rFonts w:hint="default" w:ascii="宋体" w:hAnsi="宋体" w:cs="宋体" w:eastAsiaTheme="minorEastAsia"/>
                <w:color w:val="auto"/>
                <w:kern w:val="0"/>
                <w:sz w:val="24"/>
                <w:szCs w:val="24"/>
                <w:shd w:val="clear" w:color="auto" w:fill="FFFFFF"/>
                <w:lang w:val="en-US" w:eastAsia="zh-CN" w:bidi="ar-SA"/>
              </w:rPr>
              <w:t>/</w:t>
            </w:r>
            <w:r>
              <w:rPr>
                <w:rFonts w:hint="eastAsia" w:ascii="宋体" w:hAnsi="宋体" w:cs="宋体" w:eastAsiaTheme="minorEastAsia"/>
                <w:color w:val="auto"/>
                <w:kern w:val="0"/>
                <w:sz w:val="24"/>
                <w:szCs w:val="24"/>
                <w:shd w:val="clear" w:color="auto" w:fill="FFFFFF"/>
                <w:lang w:val="en-US" w:eastAsia="zh-CN" w:bidi="ar-SA"/>
              </w:rPr>
              <w:t>数量</w:t>
            </w:r>
          </w:p>
        </w:tc>
        <w:tc>
          <w:tcPr>
            <w:tcW w:w="1636" w:type="dxa"/>
            <w:tcBorders>
              <w:top w:val="single" w:color="auto" w:sz="4" w:space="0"/>
              <w:left w:val="single" w:color="auto" w:sz="4" w:space="0"/>
              <w:bottom w:val="single" w:color="auto" w:sz="4" w:space="0"/>
              <w:right w:val="single" w:color="auto" w:sz="4" w:space="0"/>
            </w:tcBorders>
            <w:shd w:val="clear" w:color="auto" w:fill="auto"/>
          </w:tcPr>
          <w:p>
            <w:pPr>
              <w:rPr>
                <w:rFonts w:hint="default" w:ascii="宋体" w:hAnsi="宋体" w:cs="宋体" w:eastAsiaTheme="minorEastAsia"/>
                <w:color w:val="auto"/>
                <w:kern w:val="0"/>
                <w:sz w:val="24"/>
                <w:szCs w:val="24"/>
                <w:shd w:val="clear" w:color="auto" w:fill="FFFFFF"/>
                <w:lang w:val="en-US" w:eastAsia="zh-CN" w:bidi="ar-SA"/>
              </w:rPr>
            </w:pPr>
            <w:r>
              <w:rPr>
                <w:rFonts w:hint="eastAsia" w:ascii="宋体" w:hAnsi="宋体" w:cs="宋体" w:eastAsiaTheme="minorEastAsia"/>
                <w:color w:val="auto"/>
                <w:kern w:val="0"/>
                <w:sz w:val="24"/>
                <w:szCs w:val="24"/>
                <w:shd w:val="clear" w:color="auto" w:fill="FFFFFF"/>
                <w:lang w:val="en-US" w:eastAsia="zh-CN" w:bidi="ar-SA"/>
              </w:rPr>
              <w:t>预算金额</w:t>
            </w:r>
          </w:p>
        </w:tc>
        <w:tc>
          <w:tcPr>
            <w:tcW w:w="1276" w:type="dxa"/>
            <w:tcBorders>
              <w:top w:val="single" w:color="auto" w:sz="4" w:space="0"/>
              <w:left w:val="single" w:color="auto" w:sz="4" w:space="0"/>
              <w:bottom w:val="single" w:color="auto" w:sz="4" w:space="0"/>
              <w:right w:val="single" w:color="auto" w:sz="4" w:space="0"/>
            </w:tcBorders>
            <w:shd w:val="clear" w:color="auto" w:fill="auto"/>
          </w:tcPr>
          <w:p>
            <w:pPr>
              <w:rPr>
                <w:rFonts w:hint="default" w:ascii="宋体" w:hAnsi="宋体" w:cs="宋体" w:eastAsiaTheme="minorEastAsia"/>
                <w:color w:val="auto"/>
                <w:kern w:val="0"/>
                <w:sz w:val="24"/>
                <w:szCs w:val="24"/>
                <w:shd w:val="clear" w:color="auto" w:fill="FFFFFF"/>
                <w:lang w:val="en-US" w:eastAsia="zh-CN" w:bidi="ar-SA"/>
              </w:rPr>
            </w:pPr>
            <w:r>
              <w:rPr>
                <w:rFonts w:hint="eastAsia" w:ascii="宋体" w:hAnsi="宋体" w:cs="宋体" w:eastAsiaTheme="minorEastAsia"/>
                <w:color w:val="auto"/>
                <w:kern w:val="0"/>
                <w:sz w:val="24"/>
                <w:szCs w:val="24"/>
                <w:shd w:val="clear" w:color="auto" w:fill="FFFFFF"/>
                <w:lang w:val="en-US" w:eastAsia="zh-CN" w:bidi="ar-SA"/>
              </w:rPr>
              <w:t>服务期</w:t>
            </w:r>
          </w:p>
        </w:tc>
        <w:tc>
          <w:tcPr>
            <w:tcW w:w="1559" w:type="dxa"/>
            <w:tcBorders>
              <w:top w:val="single" w:color="auto" w:sz="4" w:space="0"/>
              <w:left w:val="single" w:color="auto" w:sz="4" w:space="0"/>
              <w:bottom w:val="single" w:color="auto" w:sz="4" w:space="0"/>
              <w:right w:val="single" w:color="auto" w:sz="4" w:space="0"/>
            </w:tcBorders>
          </w:tcPr>
          <w:p>
            <w:pPr>
              <w:rPr>
                <w:rFonts w:hint="default" w:ascii="宋体" w:hAnsi="宋体" w:cs="宋体" w:eastAsiaTheme="minorEastAsia"/>
                <w:color w:val="auto"/>
                <w:kern w:val="0"/>
                <w:sz w:val="24"/>
                <w:szCs w:val="24"/>
                <w:shd w:val="clear" w:color="auto" w:fill="FFFFFF"/>
                <w:lang w:val="en-US" w:eastAsia="zh-CN" w:bidi="ar-SA"/>
              </w:rPr>
            </w:pPr>
            <w:r>
              <w:rPr>
                <w:rFonts w:hint="eastAsia" w:ascii="宋体" w:hAnsi="宋体" w:cs="宋体" w:eastAsiaTheme="minorEastAsia"/>
                <w:color w:val="auto"/>
                <w:kern w:val="0"/>
                <w:sz w:val="24"/>
                <w:szCs w:val="24"/>
                <w:shd w:val="clear" w:color="auto" w:fill="FFFFFF"/>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739"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spacing w:line="300" w:lineRule="auto"/>
              <w:jc w:val="center"/>
              <w:rPr>
                <w:rFonts w:hint="eastAsia" w:ascii="宋体" w:hAnsi="宋体"/>
                <w:sz w:val="24"/>
                <w:szCs w:val="24"/>
              </w:rPr>
            </w:pPr>
          </w:p>
          <w:p>
            <w:pPr>
              <w:adjustRightInd w:val="0"/>
              <w:snapToGrid w:val="0"/>
              <w:spacing w:line="300" w:lineRule="auto"/>
              <w:jc w:val="center"/>
              <w:rPr>
                <w:rFonts w:hint="eastAsia" w:ascii="宋体" w:hAnsi="宋体"/>
                <w:sz w:val="24"/>
                <w:szCs w:val="24"/>
              </w:rPr>
            </w:pPr>
            <w:r>
              <w:rPr>
                <w:rFonts w:hint="eastAsia" w:ascii="宋体" w:hAnsi="宋体"/>
                <w:sz w:val="24"/>
                <w:szCs w:val="24"/>
              </w:rPr>
              <w:t>01</w:t>
            </w:r>
          </w:p>
        </w:tc>
        <w:tc>
          <w:tcPr>
            <w:tcW w:w="1748"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spacing w:line="300" w:lineRule="auto"/>
              <w:jc w:val="both"/>
              <w:rPr>
                <w:rFonts w:hint="eastAsia" w:ascii="宋体" w:hAnsi="宋体"/>
                <w:sz w:val="24"/>
                <w:szCs w:val="24"/>
              </w:rPr>
            </w:pPr>
          </w:p>
          <w:p>
            <w:pPr>
              <w:adjustRightInd w:val="0"/>
              <w:snapToGrid w:val="0"/>
              <w:spacing w:line="300" w:lineRule="auto"/>
              <w:jc w:val="both"/>
              <w:rPr>
                <w:rFonts w:hint="eastAsia" w:ascii="宋体" w:hAnsi="宋体"/>
                <w:sz w:val="24"/>
                <w:szCs w:val="24"/>
              </w:rPr>
            </w:pPr>
            <w:r>
              <w:rPr>
                <w:rFonts w:hint="eastAsia" w:ascii="宋体" w:hAnsi="宋体"/>
                <w:sz w:val="24"/>
                <w:szCs w:val="24"/>
              </w:rPr>
              <w:t>镜架及镜片类</w:t>
            </w:r>
          </w:p>
        </w:tc>
        <w:tc>
          <w:tcPr>
            <w:tcW w:w="1655"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spacing w:line="300" w:lineRule="auto"/>
              <w:jc w:val="center"/>
              <w:rPr>
                <w:rFonts w:hint="eastAsia" w:ascii="宋体" w:hAnsi="宋体"/>
                <w:sz w:val="24"/>
                <w:szCs w:val="24"/>
              </w:rPr>
            </w:pPr>
          </w:p>
          <w:p>
            <w:pPr>
              <w:adjustRightInd w:val="0"/>
              <w:snapToGrid w:val="0"/>
              <w:spacing w:line="300" w:lineRule="auto"/>
              <w:jc w:val="center"/>
              <w:rPr>
                <w:rFonts w:hint="eastAsia" w:ascii="宋体" w:hAnsi="宋体"/>
                <w:sz w:val="24"/>
                <w:szCs w:val="24"/>
              </w:rPr>
            </w:pPr>
            <w:r>
              <w:rPr>
                <w:rFonts w:hint="eastAsia" w:ascii="宋体" w:hAnsi="宋体"/>
                <w:sz w:val="24"/>
                <w:szCs w:val="24"/>
              </w:rPr>
              <w:t>2500副/年</w:t>
            </w:r>
          </w:p>
        </w:tc>
        <w:tc>
          <w:tcPr>
            <w:tcW w:w="1636"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spacing w:line="300" w:lineRule="auto"/>
              <w:jc w:val="center"/>
              <w:rPr>
                <w:rFonts w:hint="eastAsia" w:ascii="宋体" w:hAnsi="宋体"/>
                <w:sz w:val="24"/>
                <w:szCs w:val="24"/>
              </w:rPr>
            </w:pPr>
          </w:p>
          <w:p>
            <w:pPr>
              <w:adjustRightInd w:val="0"/>
              <w:snapToGrid w:val="0"/>
              <w:spacing w:line="300" w:lineRule="auto"/>
              <w:jc w:val="center"/>
              <w:rPr>
                <w:rFonts w:hint="eastAsia" w:ascii="宋体" w:hAnsi="宋体"/>
                <w:sz w:val="24"/>
                <w:szCs w:val="24"/>
              </w:rPr>
            </w:pPr>
            <w:r>
              <w:rPr>
                <w:rFonts w:hint="eastAsia" w:ascii="宋体" w:hAnsi="宋体"/>
                <w:sz w:val="24"/>
                <w:szCs w:val="24"/>
              </w:rPr>
              <w:t>85万元/年</w:t>
            </w:r>
          </w:p>
        </w:tc>
        <w:tc>
          <w:tcPr>
            <w:tcW w:w="1276"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spacing w:line="300" w:lineRule="auto"/>
              <w:jc w:val="center"/>
              <w:rPr>
                <w:rFonts w:hint="eastAsia" w:ascii="宋体" w:hAnsi="宋体"/>
                <w:sz w:val="24"/>
                <w:szCs w:val="24"/>
              </w:rPr>
            </w:pPr>
          </w:p>
          <w:p>
            <w:pPr>
              <w:adjustRightInd w:val="0"/>
              <w:snapToGrid w:val="0"/>
              <w:spacing w:line="300" w:lineRule="auto"/>
              <w:jc w:val="center"/>
              <w:rPr>
                <w:rFonts w:hint="eastAsia" w:ascii="宋体" w:hAnsi="宋体"/>
                <w:sz w:val="24"/>
                <w:szCs w:val="24"/>
              </w:rPr>
            </w:pPr>
            <w:r>
              <w:rPr>
                <w:rFonts w:hint="eastAsia" w:ascii="宋体" w:hAnsi="宋体"/>
                <w:sz w:val="24"/>
                <w:szCs w:val="24"/>
              </w:rPr>
              <w:t>3年</w:t>
            </w:r>
          </w:p>
        </w:tc>
        <w:tc>
          <w:tcPr>
            <w:tcW w:w="1559" w:type="dxa"/>
            <w:vMerge w:val="restart"/>
            <w:tcBorders>
              <w:top w:val="single" w:color="auto" w:sz="4" w:space="0"/>
              <w:left w:val="single" w:color="auto" w:sz="4" w:space="0"/>
              <w:right w:val="single" w:color="auto" w:sz="4" w:space="0"/>
            </w:tcBorders>
          </w:tcPr>
          <w:p>
            <w:pPr>
              <w:jc w:val="center"/>
              <w:rPr>
                <w:rFonts w:hint="eastAsia" w:eastAsiaTheme="minorEastAsia"/>
                <w:szCs w:val="24"/>
                <w:lang w:eastAsia="zh-CN"/>
              </w:rPr>
            </w:pPr>
            <w:r>
              <w:rPr>
                <w:rFonts w:hint="eastAsia"/>
                <w:color w:val="FF0000"/>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739"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spacing w:line="300" w:lineRule="auto"/>
              <w:jc w:val="center"/>
              <w:rPr>
                <w:rFonts w:hint="eastAsia" w:ascii="宋体" w:hAnsi="宋体"/>
                <w:sz w:val="24"/>
                <w:szCs w:val="24"/>
              </w:rPr>
            </w:pPr>
          </w:p>
          <w:p>
            <w:pPr>
              <w:adjustRightInd w:val="0"/>
              <w:snapToGrid w:val="0"/>
              <w:spacing w:line="300" w:lineRule="auto"/>
              <w:jc w:val="center"/>
              <w:rPr>
                <w:rFonts w:hint="eastAsia" w:ascii="宋体" w:hAnsi="宋体"/>
                <w:sz w:val="24"/>
                <w:szCs w:val="24"/>
              </w:rPr>
            </w:pPr>
            <w:r>
              <w:rPr>
                <w:rFonts w:hint="eastAsia" w:ascii="宋体" w:hAnsi="宋体"/>
                <w:sz w:val="24"/>
                <w:szCs w:val="24"/>
              </w:rPr>
              <w:t>02</w:t>
            </w:r>
          </w:p>
        </w:tc>
        <w:tc>
          <w:tcPr>
            <w:tcW w:w="1748"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spacing w:line="300" w:lineRule="auto"/>
              <w:jc w:val="both"/>
              <w:rPr>
                <w:rFonts w:hint="eastAsia" w:ascii="宋体" w:hAnsi="宋体"/>
                <w:sz w:val="24"/>
                <w:szCs w:val="24"/>
              </w:rPr>
            </w:pPr>
          </w:p>
          <w:p>
            <w:pPr>
              <w:adjustRightInd w:val="0"/>
              <w:snapToGrid w:val="0"/>
              <w:spacing w:line="300" w:lineRule="auto"/>
              <w:jc w:val="both"/>
              <w:rPr>
                <w:rFonts w:hint="eastAsia" w:ascii="宋体" w:hAnsi="宋体"/>
                <w:sz w:val="24"/>
                <w:szCs w:val="24"/>
              </w:rPr>
            </w:pPr>
            <w:r>
              <w:rPr>
                <w:rFonts w:hint="eastAsia" w:ascii="宋体" w:hAnsi="宋体"/>
                <w:sz w:val="24"/>
                <w:szCs w:val="24"/>
              </w:rPr>
              <w:t>角膜塑形镜</w:t>
            </w:r>
          </w:p>
        </w:tc>
        <w:tc>
          <w:tcPr>
            <w:tcW w:w="1655"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spacing w:line="300" w:lineRule="auto"/>
              <w:jc w:val="center"/>
              <w:rPr>
                <w:rFonts w:hint="eastAsia" w:ascii="宋体" w:hAnsi="宋体"/>
                <w:sz w:val="24"/>
                <w:szCs w:val="24"/>
              </w:rPr>
            </w:pPr>
          </w:p>
          <w:p>
            <w:pPr>
              <w:adjustRightInd w:val="0"/>
              <w:snapToGrid w:val="0"/>
              <w:spacing w:line="300" w:lineRule="auto"/>
              <w:jc w:val="center"/>
              <w:rPr>
                <w:rFonts w:hint="eastAsia" w:ascii="宋体" w:hAnsi="宋体"/>
                <w:sz w:val="24"/>
                <w:szCs w:val="24"/>
              </w:rPr>
            </w:pPr>
            <w:r>
              <w:rPr>
                <w:rFonts w:hint="eastAsia" w:ascii="宋体" w:hAnsi="宋体"/>
                <w:sz w:val="24"/>
                <w:szCs w:val="24"/>
              </w:rPr>
              <w:t>200副/年</w:t>
            </w:r>
          </w:p>
        </w:tc>
        <w:tc>
          <w:tcPr>
            <w:tcW w:w="1636"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spacing w:line="300" w:lineRule="auto"/>
              <w:jc w:val="center"/>
              <w:rPr>
                <w:rFonts w:hint="eastAsia" w:ascii="宋体" w:hAnsi="宋体"/>
                <w:sz w:val="24"/>
                <w:szCs w:val="24"/>
              </w:rPr>
            </w:pPr>
            <w:r>
              <w:rPr>
                <w:rFonts w:hint="eastAsia" w:ascii="宋体" w:hAnsi="宋体"/>
                <w:sz w:val="24"/>
                <w:szCs w:val="24"/>
              </w:rPr>
              <w:t>市场指导价格基础上下浮率至少15%</w:t>
            </w:r>
          </w:p>
        </w:tc>
        <w:tc>
          <w:tcPr>
            <w:tcW w:w="1276"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spacing w:line="300" w:lineRule="auto"/>
              <w:jc w:val="center"/>
              <w:rPr>
                <w:rFonts w:hint="eastAsia" w:ascii="宋体" w:hAnsi="宋体"/>
                <w:sz w:val="24"/>
                <w:szCs w:val="24"/>
              </w:rPr>
            </w:pPr>
          </w:p>
          <w:p>
            <w:pPr>
              <w:adjustRightInd w:val="0"/>
              <w:snapToGrid w:val="0"/>
              <w:spacing w:line="300" w:lineRule="auto"/>
              <w:jc w:val="center"/>
              <w:rPr>
                <w:rFonts w:hint="eastAsia" w:ascii="宋体" w:hAnsi="宋体"/>
                <w:sz w:val="24"/>
                <w:szCs w:val="24"/>
              </w:rPr>
            </w:pPr>
            <w:r>
              <w:rPr>
                <w:rFonts w:hint="eastAsia" w:ascii="宋体" w:hAnsi="宋体"/>
                <w:sz w:val="24"/>
                <w:szCs w:val="24"/>
              </w:rPr>
              <w:t>3年</w:t>
            </w:r>
          </w:p>
        </w:tc>
        <w:tc>
          <w:tcPr>
            <w:tcW w:w="1559" w:type="dxa"/>
            <w:vMerge w:val="continue"/>
            <w:tcBorders>
              <w:left w:val="single" w:color="auto" w:sz="4" w:space="0"/>
              <w:right w:val="single" w:color="auto" w:sz="4" w:space="0"/>
            </w:tcBorders>
          </w:tcPr>
          <w:p>
            <w:pPr>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739"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spacing w:line="300" w:lineRule="auto"/>
              <w:jc w:val="center"/>
              <w:rPr>
                <w:rFonts w:hint="eastAsia" w:ascii="宋体" w:hAnsi="宋体"/>
                <w:sz w:val="24"/>
                <w:szCs w:val="24"/>
              </w:rPr>
            </w:pPr>
          </w:p>
          <w:p>
            <w:pPr>
              <w:adjustRightInd w:val="0"/>
              <w:snapToGrid w:val="0"/>
              <w:spacing w:line="300" w:lineRule="auto"/>
              <w:jc w:val="center"/>
              <w:rPr>
                <w:rFonts w:hint="eastAsia" w:ascii="宋体" w:hAnsi="宋体"/>
                <w:sz w:val="24"/>
                <w:szCs w:val="24"/>
              </w:rPr>
            </w:pPr>
            <w:r>
              <w:rPr>
                <w:rFonts w:hint="eastAsia" w:ascii="宋体" w:hAnsi="宋体"/>
                <w:sz w:val="24"/>
                <w:szCs w:val="24"/>
              </w:rPr>
              <w:t>03</w:t>
            </w:r>
          </w:p>
        </w:tc>
        <w:tc>
          <w:tcPr>
            <w:tcW w:w="1748"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spacing w:line="300" w:lineRule="auto"/>
              <w:jc w:val="both"/>
              <w:rPr>
                <w:rFonts w:hint="eastAsia" w:ascii="宋体" w:hAnsi="宋体"/>
                <w:sz w:val="24"/>
                <w:szCs w:val="24"/>
              </w:rPr>
            </w:pPr>
          </w:p>
          <w:p>
            <w:pPr>
              <w:adjustRightInd w:val="0"/>
              <w:snapToGrid w:val="0"/>
              <w:spacing w:line="300" w:lineRule="auto"/>
              <w:jc w:val="both"/>
              <w:rPr>
                <w:rFonts w:hint="eastAsia" w:ascii="宋体" w:hAnsi="宋体"/>
                <w:sz w:val="24"/>
                <w:szCs w:val="24"/>
              </w:rPr>
            </w:pPr>
            <w:r>
              <w:rPr>
                <w:rFonts w:hint="eastAsia" w:ascii="宋体" w:hAnsi="宋体"/>
                <w:sz w:val="24"/>
                <w:szCs w:val="24"/>
              </w:rPr>
              <w:t>接触镜</w:t>
            </w:r>
          </w:p>
        </w:tc>
        <w:tc>
          <w:tcPr>
            <w:tcW w:w="1655"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spacing w:line="300" w:lineRule="auto"/>
              <w:jc w:val="center"/>
              <w:rPr>
                <w:rFonts w:hint="eastAsia" w:ascii="宋体" w:hAnsi="宋体"/>
                <w:sz w:val="24"/>
                <w:szCs w:val="24"/>
              </w:rPr>
            </w:pPr>
            <w:r>
              <w:rPr>
                <w:rFonts w:hint="eastAsia" w:ascii="宋体" w:hAnsi="宋体"/>
                <w:sz w:val="24"/>
                <w:szCs w:val="24"/>
              </w:rPr>
              <w:t>硬镜20片/年</w:t>
            </w:r>
          </w:p>
          <w:p>
            <w:pPr>
              <w:adjustRightInd w:val="0"/>
              <w:snapToGrid w:val="0"/>
              <w:spacing w:line="300" w:lineRule="auto"/>
              <w:jc w:val="both"/>
              <w:rPr>
                <w:rFonts w:hint="eastAsia" w:ascii="宋体" w:hAnsi="宋体"/>
                <w:sz w:val="24"/>
                <w:szCs w:val="24"/>
              </w:rPr>
            </w:pPr>
            <w:r>
              <w:rPr>
                <w:rFonts w:hint="eastAsia" w:ascii="宋体" w:hAnsi="宋体"/>
                <w:sz w:val="24"/>
                <w:szCs w:val="24"/>
              </w:rPr>
              <w:t>软镜400片/年</w:t>
            </w:r>
          </w:p>
        </w:tc>
        <w:tc>
          <w:tcPr>
            <w:tcW w:w="1636"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spacing w:line="300" w:lineRule="auto"/>
              <w:jc w:val="center"/>
              <w:rPr>
                <w:rFonts w:hint="eastAsia" w:ascii="宋体" w:hAnsi="宋体"/>
                <w:sz w:val="24"/>
                <w:szCs w:val="24"/>
              </w:rPr>
            </w:pPr>
          </w:p>
          <w:p>
            <w:pPr>
              <w:adjustRightInd w:val="0"/>
              <w:snapToGrid w:val="0"/>
              <w:spacing w:line="300" w:lineRule="auto"/>
              <w:jc w:val="center"/>
              <w:rPr>
                <w:rFonts w:hint="eastAsia" w:ascii="宋体" w:hAnsi="宋体"/>
                <w:sz w:val="24"/>
                <w:szCs w:val="24"/>
              </w:rPr>
            </w:pPr>
            <w:r>
              <w:rPr>
                <w:rFonts w:hint="eastAsia" w:ascii="宋体" w:hAnsi="宋体"/>
                <w:sz w:val="24"/>
                <w:szCs w:val="24"/>
              </w:rPr>
              <w:t>20万/年</w:t>
            </w:r>
          </w:p>
        </w:tc>
        <w:tc>
          <w:tcPr>
            <w:tcW w:w="1276"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spacing w:line="300" w:lineRule="auto"/>
              <w:jc w:val="center"/>
              <w:rPr>
                <w:rFonts w:hint="eastAsia" w:ascii="宋体" w:hAnsi="宋体"/>
                <w:sz w:val="24"/>
                <w:szCs w:val="24"/>
              </w:rPr>
            </w:pPr>
          </w:p>
          <w:p>
            <w:pPr>
              <w:adjustRightInd w:val="0"/>
              <w:snapToGrid w:val="0"/>
              <w:spacing w:line="300" w:lineRule="auto"/>
              <w:jc w:val="center"/>
              <w:rPr>
                <w:rFonts w:hint="eastAsia" w:ascii="宋体" w:hAnsi="宋体"/>
                <w:sz w:val="24"/>
                <w:szCs w:val="24"/>
              </w:rPr>
            </w:pPr>
            <w:r>
              <w:rPr>
                <w:rFonts w:hint="eastAsia" w:ascii="宋体" w:hAnsi="宋体"/>
                <w:sz w:val="24"/>
                <w:szCs w:val="24"/>
              </w:rPr>
              <w:t>3年</w:t>
            </w:r>
          </w:p>
        </w:tc>
        <w:tc>
          <w:tcPr>
            <w:tcW w:w="1559" w:type="dxa"/>
            <w:vMerge w:val="continue"/>
            <w:tcBorders>
              <w:left w:val="single" w:color="auto" w:sz="4" w:space="0"/>
              <w:bottom w:val="single" w:color="auto" w:sz="4" w:space="0"/>
              <w:right w:val="single" w:color="auto" w:sz="4" w:space="0"/>
            </w:tcBorders>
          </w:tcPr>
          <w:p>
            <w:pPr>
              <w:rPr>
                <w:szCs w:val="24"/>
              </w:rPr>
            </w:pPr>
          </w:p>
        </w:tc>
      </w:tr>
    </w:tbl>
    <w:p>
      <w:pPr>
        <w:pStyle w:val="13"/>
        <w:widowControl/>
        <w:shd w:val="clear" w:color="auto" w:fill="FFFFFF"/>
        <w:spacing w:beforeAutospacing="0" w:afterAutospacing="0" w:line="360" w:lineRule="auto"/>
        <w:rPr>
          <w:rFonts w:hint="eastAsia" w:ascii="宋体" w:hAnsi="宋体" w:cs="宋体"/>
          <w:szCs w:val="24"/>
          <w:highlight w:val="none"/>
          <w:shd w:val="clear" w:color="auto" w:fill="FFFFFF"/>
        </w:rPr>
      </w:pPr>
      <w:r>
        <w:rPr>
          <w:rFonts w:hint="eastAsia" w:ascii="宋体" w:hAnsi="宋体" w:cs="宋体"/>
          <w:szCs w:val="24"/>
          <w:highlight w:val="none"/>
          <w:shd w:val="clear" w:color="auto" w:fill="FFFFFF"/>
          <w:lang w:val="en-US" w:eastAsia="zh-CN"/>
        </w:rPr>
        <w:t>15</w:t>
      </w:r>
      <w:r>
        <w:rPr>
          <w:rFonts w:hint="eastAsia" w:ascii="宋体" w:hAnsi="宋体" w:cs="宋体"/>
          <w:szCs w:val="24"/>
          <w:highlight w:val="none"/>
          <w:shd w:val="clear" w:color="auto" w:fill="FFFFFF"/>
        </w:rPr>
        <w:t>、申请人的资格要求：</w:t>
      </w:r>
    </w:p>
    <w:p>
      <w:pPr>
        <w:autoSpaceDE w:val="0"/>
        <w:autoSpaceDN w:val="0"/>
        <w:adjustRightInd w:val="0"/>
        <w:spacing w:line="360" w:lineRule="auto"/>
        <w:jc w:val="left"/>
        <w:rPr>
          <w:rFonts w:ascii="宋体" w:hAnsi="宋体"/>
          <w:sz w:val="24"/>
          <w:szCs w:val="28"/>
        </w:rPr>
      </w:pPr>
      <w:r>
        <w:rPr>
          <w:rFonts w:hint="eastAsia" w:ascii="宋体" w:hAnsi="宋体"/>
          <w:sz w:val="24"/>
          <w:szCs w:val="28"/>
        </w:rPr>
        <w:t>1.满足《中华人民共和国政府采购法》第二十二条规定；</w:t>
      </w:r>
    </w:p>
    <w:p>
      <w:pPr>
        <w:autoSpaceDE w:val="0"/>
        <w:autoSpaceDN w:val="0"/>
        <w:adjustRightInd w:val="0"/>
        <w:spacing w:line="360" w:lineRule="auto"/>
        <w:jc w:val="left"/>
        <w:rPr>
          <w:rFonts w:ascii="宋体" w:hAnsi="宋体"/>
          <w:sz w:val="24"/>
          <w:szCs w:val="28"/>
        </w:rPr>
      </w:pPr>
      <w:r>
        <w:rPr>
          <w:rFonts w:ascii="宋体" w:hAnsi="宋体"/>
          <w:sz w:val="24"/>
          <w:szCs w:val="28"/>
        </w:rPr>
        <w:t>2</w:t>
      </w:r>
      <w:r>
        <w:rPr>
          <w:rFonts w:hint="eastAsia" w:ascii="宋体" w:hAnsi="宋体"/>
          <w:sz w:val="24"/>
          <w:szCs w:val="28"/>
        </w:rPr>
        <w:t>.落实政府采购政策需满足的资格要求：本项目需落实的节能环保、中小微型企业扶持等相关政府采购政策详见招标文件</w:t>
      </w:r>
    </w:p>
    <w:p>
      <w:pPr>
        <w:autoSpaceDE w:val="0"/>
        <w:autoSpaceDN w:val="0"/>
        <w:adjustRightInd w:val="0"/>
        <w:spacing w:line="360" w:lineRule="auto"/>
        <w:jc w:val="left"/>
        <w:rPr>
          <w:rFonts w:ascii="宋体" w:hAnsi="宋体"/>
          <w:sz w:val="24"/>
          <w:szCs w:val="28"/>
        </w:rPr>
      </w:pPr>
      <w:r>
        <w:rPr>
          <w:rFonts w:hint="eastAsia" w:ascii="宋体" w:hAnsi="宋体"/>
          <w:sz w:val="24"/>
          <w:szCs w:val="28"/>
        </w:rPr>
        <w:t xml:space="preserve">3.本项目的特定资格要求： </w:t>
      </w:r>
    </w:p>
    <w:p>
      <w:pPr>
        <w:autoSpaceDE w:val="0"/>
        <w:autoSpaceDN w:val="0"/>
        <w:adjustRightInd w:val="0"/>
        <w:spacing w:line="360" w:lineRule="auto"/>
        <w:jc w:val="left"/>
        <w:rPr>
          <w:rFonts w:ascii="宋体" w:hAnsi="宋体"/>
          <w:color w:val="auto"/>
          <w:sz w:val="24"/>
          <w:szCs w:val="28"/>
        </w:rPr>
      </w:pPr>
      <w:r>
        <w:rPr>
          <w:rFonts w:ascii="宋体" w:hAnsi="宋体"/>
          <w:sz w:val="24"/>
          <w:szCs w:val="28"/>
        </w:rPr>
        <w:t>3.1</w:t>
      </w:r>
      <w:r>
        <w:rPr>
          <w:rFonts w:hint="eastAsia" w:ascii="宋体" w:hAnsi="宋体"/>
          <w:sz w:val="24"/>
          <w:szCs w:val="28"/>
        </w:rPr>
        <w:t>、供应商须具有有效</w:t>
      </w:r>
      <w:r>
        <w:rPr>
          <w:rFonts w:hint="eastAsia" w:ascii="宋体" w:hAnsi="宋体"/>
          <w:color w:val="auto"/>
          <w:sz w:val="24"/>
          <w:szCs w:val="28"/>
        </w:rPr>
        <w:t>的</w:t>
      </w:r>
      <w:r>
        <w:rPr>
          <w:rFonts w:ascii="宋体" w:hAnsi="宋体"/>
          <w:color w:val="auto"/>
          <w:sz w:val="24"/>
          <w:szCs w:val="28"/>
        </w:rPr>
        <w:t>营业执照</w:t>
      </w:r>
      <w:r>
        <w:rPr>
          <w:rFonts w:hint="eastAsia" w:ascii="宋体" w:hAnsi="宋体"/>
          <w:color w:val="auto"/>
          <w:sz w:val="24"/>
          <w:szCs w:val="28"/>
        </w:rPr>
        <w:t>；</w:t>
      </w:r>
    </w:p>
    <w:p>
      <w:pPr>
        <w:autoSpaceDE w:val="0"/>
        <w:autoSpaceDN w:val="0"/>
        <w:adjustRightInd w:val="0"/>
        <w:spacing w:line="360" w:lineRule="auto"/>
        <w:jc w:val="left"/>
        <w:rPr>
          <w:rFonts w:ascii="宋体" w:hAnsi="宋体"/>
          <w:color w:val="auto"/>
          <w:sz w:val="24"/>
          <w:szCs w:val="28"/>
        </w:rPr>
      </w:pPr>
      <w:r>
        <w:rPr>
          <w:rFonts w:ascii="宋体" w:hAnsi="宋体"/>
          <w:color w:val="auto"/>
          <w:sz w:val="24"/>
          <w:szCs w:val="28"/>
        </w:rPr>
        <w:t>3.</w:t>
      </w:r>
      <w:r>
        <w:rPr>
          <w:rFonts w:hint="eastAsia" w:ascii="宋体" w:hAnsi="宋体"/>
          <w:color w:val="auto"/>
          <w:sz w:val="24"/>
          <w:szCs w:val="28"/>
        </w:rPr>
        <w:t>2、所投产品为医疗器械的，供应商如为代理商须具有有效的中华人民共和国医疗器械经营许可证或</w:t>
      </w:r>
      <w:r>
        <w:rPr>
          <w:rFonts w:ascii="宋体" w:hAnsi="宋体"/>
          <w:color w:val="auto"/>
          <w:sz w:val="24"/>
          <w:szCs w:val="28"/>
        </w:rPr>
        <w:t>备案凭证</w:t>
      </w:r>
      <w:r>
        <w:rPr>
          <w:rFonts w:hint="eastAsia" w:ascii="宋体" w:hAnsi="宋体"/>
          <w:color w:val="auto"/>
          <w:sz w:val="24"/>
          <w:szCs w:val="28"/>
        </w:rPr>
        <w:t>；供应商如为生产商须具有有效的中华人民共和国医疗器械生产许可证和中华人民共和国医疗器械经营许可证；</w:t>
      </w:r>
    </w:p>
    <w:p>
      <w:pPr>
        <w:autoSpaceDE w:val="0"/>
        <w:autoSpaceDN w:val="0"/>
        <w:adjustRightInd w:val="0"/>
        <w:spacing w:line="360" w:lineRule="auto"/>
        <w:jc w:val="left"/>
        <w:rPr>
          <w:rFonts w:ascii="宋体" w:hAnsi="宋体"/>
          <w:color w:val="auto"/>
          <w:sz w:val="24"/>
          <w:szCs w:val="28"/>
        </w:rPr>
      </w:pPr>
      <w:r>
        <w:rPr>
          <w:rFonts w:ascii="宋体" w:hAnsi="宋体"/>
          <w:color w:val="auto"/>
          <w:sz w:val="24"/>
          <w:szCs w:val="28"/>
        </w:rPr>
        <w:t>3.</w:t>
      </w:r>
      <w:r>
        <w:rPr>
          <w:rFonts w:hint="eastAsia" w:ascii="宋体" w:hAnsi="宋体"/>
          <w:color w:val="auto"/>
          <w:sz w:val="24"/>
          <w:szCs w:val="28"/>
        </w:rPr>
        <w:t>3、供应商</w:t>
      </w:r>
      <w:r>
        <w:rPr>
          <w:rFonts w:hint="eastAsia" w:ascii="宋体" w:hAnsi="宋体" w:cs="宋体"/>
          <w:color w:val="auto"/>
          <w:kern w:val="0"/>
          <w:sz w:val="24"/>
        </w:rPr>
        <w:t>所投产品为一类医疗器械，须提供有效的医疗器械备案凭证；</w:t>
      </w:r>
      <w:r>
        <w:rPr>
          <w:rFonts w:hint="eastAsia" w:ascii="宋体" w:hAnsi="宋体"/>
          <w:color w:val="auto"/>
          <w:sz w:val="24"/>
          <w:szCs w:val="28"/>
        </w:rPr>
        <w:t>供应商</w:t>
      </w:r>
      <w:r>
        <w:rPr>
          <w:rFonts w:hint="eastAsia" w:ascii="宋体" w:hAnsi="宋体" w:cs="宋体"/>
          <w:color w:val="auto"/>
          <w:kern w:val="0"/>
          <w:sz w:val="24"/>
        </w:rPr>
        <w:t>所投产品为二类或三类医疗器械，须提供有效的医疗器械注册证；</w:t>
      </w:r>
    </w:p>
    <w:p>
      <w:pPr>
        <w:autoSpaceDE w:val="0"/>
        <w:autoSpaceDN w:val="0"/>
        <w:adjustRightInd w:val="0"/>
        <w:spacing w:line="360" w:lineRule="auto"/>
        <w:jc w:val="left"/>
        <w:rPr>
          <w:rFonts w:hint="eastAsia" w:ascii="宋体" w:hAnsi="宋体" w:eastAsiaTheme="minorEastAsia"/>
          <w:sz w:val="24"/>
          <w:szCs w:val="28"/>
          <w:lang w:eastAsia="zh-CN"/>
        </w:rPr>
      </w:pPr>
      <w:r>
        <w:rPr>
          <w:rFonts w:ascii="宋体" w:hAnsi="宋体"/>
          <w:color w:val="auto"/>
          <w:sz w:val="24"/>
          <w:szCs w:val="28"/>
        </w:rPr>
        <w:t>3.</w:t>
      </w:r>
      <w:r>
        <w:rPr>
          <w:rFonts w:hint="eastAsia" w:ascii="宋体" w:hAnsi="宋体"/>
          <w:color w:val="auto"/>
          <w:sz w:val="24"/>
          <w:szCs w:val="28"/>
        </w:rPr>
        <w:t>4、供应商为代理商时须出具能够证明所投产品销售渠道正规的证明文件</w:t>
      </w:r>
      <w:r>
        <w:rPr>
          <w:rFonts w:hint="eastAsia" w:ascii="宋体" w:hAnsi="宋体"/>
          <w:color w:val="auto"/>
          <w:sz w:val="24"/>
          <w:szCs w:val="28"/>
          <w:lang w:eastAsia="zh-CN"/>
        </w:rPr>
        <w:t>；</w:t>
      </w:r>
    </w:p>
    <w:p>
      <w:pPr>
        <w:autoSpaceDE w:val="0"/>
        <w:autoSpaceDN w:val="0"/>
        <w:adjustRightInd w:val="0"/>
        <w:spacing w:line="360" w:lineRule="auto"/>
        <w:jc w:val="left"/>
        <w:rPr>
          <w:rFonts w:ascii="宋体" w:hAnsi="宋体"/>
          <w:sz w:val="24"/>
          <w:szCs w:val="28"/>
        </w:rPr>
      </w:pPr>
      <w:r>
        <w:rPr>
          <w:rFonts w:ascii="宋体" w:hAnsi="宋体"/>
          <w:sz w:val="24"/>
          <w:szCs w:val="28"/>
        </w:rPr>
        <w:t>3.5</w:t>
      </w:r>
      <w:r>
        <w:rPr>
          <w:rFonts w:hint="eastAsia" w:ascii="宋体" w:hAnsi="宋体"/>
          <w:sz w:val="24"/>
          <w:szCs w:val="28"/>
        </w:rPr>
        <w:t>、本项目采用资格后审，不接受联合体投标；</w:t>
      </w:r>
    </w:p>
    <w:p>
      <w:pPr>
        <w:autoSpaceDE w:val="0"/>
        <w:autoSpaceDN w:val="0"/>
        <w:adjustRightInd w:val="0"/>
        <w:spacing w:line="360" w:lineRule="auto"/>
        <w:jc w:val="left"/>
        <w:rPr>
          <w:rFonts w:ascii="宋体" w:hAnsi="宋体"/>
          <w:sz w:val="24"/>
          <w:szCs w:val="28"/>
        </w:rPr>
      </w:pPr>
      <w:r>
        <w:rPr>
          <w:rFonts w:ascii="宋体" w:hAnsi="宋体"/>
          <w:sz w:val="24"/>
          <w:szCs w:val="28"/>
        </w:rPr>
        <w:t>3.6</w:t>
      </w:r>
      <w:r>
        <w:rPr>
          <w:rFonts w:hint="eastAsia" w:ascii="宋体" w:hAnsi="宋体"/>
          <w:sz w:val="24"/>
          <w:szCs w:val="28"/>
        </w:rPr>
        <w:t>、投标供应商存在以下不良信用记录情形之一的，不得推荐为成交候选供应商，不得确定为成交供应商：</w:t>
      </w:r>
    </w:p>
    <w:p>
      <w:pPr>
        <w:autoSpaceDE w:val="0"/>
        <w:autoSpaceDN w:val="0"/>
        <w:adjustRightInd w:val="0"/>
        <w:spacing w:line="360" w:lineRule="auto"/>
        <w:jc w:val="left"/>
        <w:rPr>
          <w:rFonts w:ascii="宋体" w:hAnsi="宋体"/>
          <w:sz w:val="24"/>
          <w:szCs w:val="28"/>
        </w:rPr>
      </w:pPr>
      <w:r>
        <w:rPr>
          <w:rFonts w:hint="eastAsia" w:ascii="宋体" w:hAnsi="宋体"/>
          <w:sz w:val="24"/>
          <w:szCs w:val="28"/>
        </w:rPr>
        <w:t>①供应商被人民法院列入失信被执行人的；</w:t>
      </w:r>
    </w:p>
    <w:p>
      <w:pPr>
        <w:autoSpaceDE w:val="0"/>
        <w:autoSpaceDN w:val="0"/>
        <w:adjustRightInd w:val="0"/>
        <w:spacing w:line="360" w:lineRule="auto"/>
        <w:jc w:val="left"/>
        <w:rPr>
          <w:rFonts w:ascii="宋体" w:hAnsi="宋体"/>
          <w:sz w:val="24"/>
          <w:szCs w:val="28"/>
        </w:rPr>
      </w:pPr>
      <w:r>
        <w:rPr>
          <w:rFonts w:hint="eastAsia" w:ascii="宋体" w:hAnsi="宋体"/>
          <w:sz w:val="24"/>
          <w:szCs w:val="28"/>
        </w:rPr>
        <w:t>②供应商或其法定代表人或拟派项目负责人被人民检察院列入行贿犯罪档案的；</w:t>
      </w:r>
    </w:p>
    <w:p>
      <w:pPr>
        <w:autoSpaceDE w:val="0"/>
        <w:autoSpaceDN w:val="0"/>
        <w:adjustRightInd w:val="0"/>
        <w:spacing w:line="360" w:lineRule="auto"/>
        <w:jc w:val="left"/>
        <w:rPr>
          <w:rFonts w:ascii="宋体" w:hAnsi="宋体"/>
          <w:sz w:val="24"/>
          <w:szCs w:val="28"/>
        </w:rPr>
      </w:pPr>
      <w:r>
        <w:rPr>
          <w:rFonts w:hint="eastAsia" w:ascii="宋体" w:hAnsi="宋体"/>
          <w:sz w:val="24"/>
          <w:szCs w:val="28"/>
        </w:rPr>
        <w:t>③供应商被工商行政管理部门列入企业经营异常名录的；</w:t>
      </w:r>
    </w:p>
    <w:p>
      <w:pPr>
        <w:autoSpaceDE w:val="0"/>
        <w:autoSpaceDN w:val="0"/>
        <w:adjustRightInd w:val="0"/>
        <w:spacing w:line="360" w:lineRule="auto"/>
        <w:jc w:val="left"/>
        <w:rPr>
          <w:rFonts w:ascii="宋体" w:hAnsi="宋体"/>
          <w:sz w:val="24"/>
          <w:szCs w:val="28"/>
        </w:rPr>
      </w:pPr>
      <w:r>
        <w:rPr>
          <w:rFonts w:hint="eastAsia" w:ascii="宋体" w:hAnsi="宋体"/>
          <w:sz w:val="24"/>
          <w:szCs w:val="28"/>
        </w:rPr>
        <w:t>④供应商被税务部门列入重大税收违法案件当事人名单的；</w:t>
      </w:r>
    </w:p>
    <w:p>
      <w:pPr>
        <w:spacing w:line="120" w:lineRule="auto"/>
        <w:rPr>
          <w:rFonts w:hint="eastAsia" w:ascii="宋体" w:hAnsi="宋体" w:eastAsia="宋体" w:cs="宋体"/>
          <w:b/>
          <w:bCs/>
          <w:sz w:val="30"/>
          <w:szCs w:val="30"/>
          <w:lang w:val="en-US" w:eastAsia="zh-CN"/>
        </w:rPr>
      </w:pPr>
      <w:r>
        <w:rPr>
          <w:rFonts w:hint="eastAsia" w:ascii="宋体" w:hAnsi="宋体"/>
          <w:sz w:val="24"/>
          <w:szCs w:val="28"/>
        </w:rPr>
        <w:t>⑤供应商被政府采购监管部门列入政府采购严重违法失信行为记录名单的。</w:t>
      </w:r>
      <w:r>
        <w:rPr>
          <w:rFonts w:hint="eastAsia" w:ascii="宋体" w:hAnsi="宋体" w:eastAsia="宋体" w:cs="宋体"/>
          <w:b/>
          <w:bCs/>
          <w:sz w:val="30"/>
          <w:szCs w:val="30"/>
          <w:lang w:val="en-US" w:eastAsia="zh-CN"/>
        </w:rPr>
        <w:t xml:space="preserve">     </w:t>
      </w:r>
    </w:p>
    <w:p>
      <w:pP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br w:type="page"/>
      </w:r>
    </w:p>
    <w:p>
      <w:pPr>
        <w:spacing w:line="360" w:lineRule="auto"/>
        <w:ind w:firstLine="602" w:firstLineChars="200"/>
        <w:rPr>
          <w:rFonts w:hint="eastAsia" w:ascii="宋体" w:hAnsi="宋体" w:eastAsia="宋体" w:cs="宋体"/>
          <w:b/>
          <w:bCs/>
          <w:sz w:val="30"/>
          <w:szCs w:val="30"/>
          <w:lang w:val="en-US" w:eastAsia="zh-CN"/>
        </w:rPr>
      </w:pPr>
      <w:r>
        <w:rPr>
          <w:rFonts w:hint="eastAsia" w:ascii="宋体" w:hAnsi="宋体" w:cs="宋体"/>
          <w:b/>
          <w:bCs/>
          <w:color w:val="333333"/>
          <w:sz w:val="30"/>
          <w:szCs w:val="30"/>
          <w:lang w:val="en-US" w:eastAsia="zh-CN"/>
        </w:rPr>
        <w:t>蚌埠二院医学视光中心采购一批耗材项目</w:t>
      </w:r>
      <w:r>
        <w:rPr>
          <w:rFonts w:hint="eastAsia" w:ascii="宋体" w:hAnsi="宋体" w:eastAsia="宋体" w:cs="宋体"/>
          <w:b/>
          <w:bCs/>
          <w:sz w:val="30"/>
          <w:szCs w:val="30"/>
          <w:lang w:val="en-US" w:eastAsia="zh-CN"/>
        </w:rPr>
        <w:t>采购需求</w:t>
      </w:r>
    </w:p>
    <w:p>
      <w:pPr>
        <w:ind w:firstLine="241" w:firstLineChars="100"/>
        <w:rPr>
          <w:rFonts w:ascii="宋体" w:hAnsi="宋体"/>
          <w:b/>
          <w:bCs/>
          <w:color w:val="000000" w:themeColor="text1"/>
          <w:sz w:val="32"/>
          <w:szCs w:val="32"/>
          <w14:textFill>
            <w14:solidFill>
              <w14:schemeClr w14:val="tx1"/>
            </w14:solidFill>
          </w14:textFill>
        </w:rPr>
      </w:pPr>
      <w:r>
        <w:rPr>
          <w:rFonts w:hint="eastAsia" w:ascii="宋体" w:hAnsi="宋体"/>
          <w:b/>
          <w:bCs/>
          <w:sz w:val="24"/>
          <w:szCs w:val="24"/>
          <w:lang w:val="en-US" w:eastAsia="zh-CN"/>
        </w:rPr>
        <w:t>0</w:t>
      </w:r>
      <w:r>
        <w:rPr>
          <w:rFonts w:hint="eastAsia" w:ascii="宋体" w:hAnsi="宋体"/>
          <w:b/>
          <w:bCs/>
          <w:sz w:val="24"/>
          <w:szCs w:val="24"/>
        </w:rPr>
        <w:t xml:space="preserve">1包  “镜架及镜片”类  </w:t>
      </w:r>
      <w:r>
        <w:rPr>
          <w:rFonts w:hint="eastAsia" w:ascii="宋体" w:hAnsi="宋体"/>
          <w:b/>
          <w:bCs/>
          <w:color w:val="000000" w:themeColor="text1"/>
          <w:sz w:val="24"/>
          <w:szCs w:val="24"/>
          <w14:textFill>
            <w14:solidFill>
              <w14:schemeClr w14:val="tx1"/>
            </w14:solidFill>
          </w14:textFill>
        </w:rPr>
        <w:t xml:space="preserve"> 市场指导价格基础上下浮率至少65%</w:t>
      </w:r>
    </w:p>
    <w:p>
      <w:pPr>
        <w:ind w:firstLine="482" w:firstLineChars="200"/>
        <w:rPr>
          <w:rFonts w:ascii="宋体" w:hAnsi="宋体"/>
          <w:b/>
          <w:bCs/>
          <w:sz w:val="24"/>
          <w:szCs w:val="24"/>
          <w:u w:val="none"/>
        </w:rPr>
      </w:pPr>
      <w:r>
        <w:rPr>
          <w:rFonts w:hint="eastAsia" w:ascii="宋体" w:hAnsi="宋体"/>
          <w:b/>
          <w:bCs/>
          <w:sz w:val="24"/>
          <w:szCs w:val="24"/>
          <w:u w:val="none"/>
        </w:rPr>
        <w:t>核心产品：儿童系列光学镜架</w:t>
      </w:r>
    </w:p>
    <w:p>
      <w:pPr>
        <w:ind w:firstLine="480" w:firstLineChars="200"/>
        <w:rPr>
          <w:rFonts w:ascii="宋体" w:hAnsi="宋体"/>
          <w:sz w:val="24"/>
          <w:szCs w:val="24"/>
          <w:u w:val="none"/>
        </w:rPr>
      </w:pPr>
      <w:r>
        <w:rPr>
          <w:rFonts w:hint="eastAsia" w:ascii="宋体" w:hAnsi="宋体"/>
          <w:sz w:val="24"/>
          <w:szCs w:val="24"/>
          <w:u w:val="none"/>
        </w:rPr>
        <w:t>一、光学镜架，包括：钛系列、合金系列、板材/TR系列、新材料系列、花镜系列、儿童系列、切边系列等。</w:t>
      </w:r>
    </w:p>
    <w:p>
      <w:pPr>
        <w:spacing w:line="360" w:lineRule="auto"/>
        <w:ind w:firstLine="480" w:firstLineChars="200"/>
        <w:rPr>
          <w:rFonts w:ascii="宋体" w:hAnsi="宋体"/>
          <w:sz w:val="24"/>
          <w:szCs w:val="24"/>
        </w:rPr>
      </w:pPr>
      <w:r>
        <w:rPr>
          <w:rFonts w:hint="eastAsia" w:ascii="宋体" w:hAnsi="宋体"/>
          <w:sz w:val="24"/>
          <w:szCs w:val="24"/>
          <w:u w:val="none"/>
        </w:rPr>
        <w:t>推荐品牌包含：施洛</w:t>
      </w:r>
      <w:r>
        <w:rPr>
          <w:rFonts w:hint="eastAsia" w:ascii="宋体" w:hAnsi="宋体"/>
          <w:sz w:val="24"/>
          <w:szCs w:val="24"/>
        </w:rPr>
        <w:t>华、李维斯、奥特曼、百威、法依笛、功夫熊猫、梦特娇、六六、大咖秀、伊斯兰德、NBA、OUTDO高特、凯迪拉克、暴龙、利惠、JEEP、浪特梦、美津浓、鳄鱼、蔡司、魅影、菲莱尔、陌森、派丽蒙、保圣、万宝捷等。要求投标人每个系列提供不少于5个推荐品牌且具有高中低各档次差异。</w:t>
      </w:r>
    </w:p>
    <w:p>
      <w:pPr>
        <w:spacing w:line="360" w:lineRule="auto"/>
        <w:ind w:firstLine="480" w:firstLineChars="200"/>
        <w:rPr>
          <w:rFonts w:ascii="宋体" w:hAnsi="宋体"/>
          <w:sz w:val="24"/>
          <w:szCs w:val="24"/>
        </w:rPr>
      </w:pPr>
      <w:r>
        <w:rPr>
          <w:rFonts w:hint="eastAsia" w:ascii="宋体" w:hAnsi="宋体"/>
          <w:sz w:val="24"/>
          <w:szCs w:val="24"/>
        </w:rPr>
        <w:t>二、太阳镜类，包括：成人太阳镜、儿童太阳镜等。</w:t>
      </w:r>
    </w:p>
    <w:p>
      <w:pPr>
        <w:spacing w:line="360" w:lineRule="auto"/>
        <w:ind w:firstLine="480" w:firstLineChars="200"/>
        <w:rPr>
          <w:rFonts w:ascii="宋体" w:hAnsi="宋体"/>
          <w:sz w:val="24"/>
          <w:szCs w:val="24"/>
        </w:rPr>
      </w:pPr>
      <w:r>
        <w:rPr>
          <w:rFonts w:hint="eastAsia" w:ascii="宋体" w:hAnsi="宋体"/>
          <w:sz w:val="24"/>
          <w:szCs w:val="24"/>
        </w:rPr>
        <w:t>推荐品牌包含：暴龙、陌森、帕莎、花雨伞、雪佛兰、派丽蒙、保圣、安比等。要求投标人提供不少于3个或以上推荐品牌。</w:t>
      </w:r>
    </w:p>
    <w:p>
      <w:pPr>
        <w:pStyle w:val="23"/>
        <w:numPr>
          <w:ilvl w:val="0"/>
          <w:numId w:val="3"/>
        </w:numPr>
        <w:spacing w:line="360" w:lineRule="auto"/>
        <w:ind w:firstLineChars="0"/>
        <w:rPr>
          <w:rFonts w:hint="eastAsia" w:ascii="宋体" w:hAnsi="宋体"/>
          <w:sz w:val="24"/>
          <w:szCs w:val="24"/>
        </w:rPr>
      </w:pPr>
      <w:r>
        <w:rPr>
          <w:rFonts w:hint="eastAsia" w:ascii="宋体" w:hAnsi="宋体"/>
          <w:sz w:val="24"/>
          <w:szCs w:val="24"/>
        </w:rPr>
        <w:t>镜盒，提供高、中、低档。</w:t>
      </w:r>
    </w:p>
    <w:p>
      <w:pPr>
        <w:pStyle w:val="23"/>
        <w:numPr>
          <w:ilvl w:val="0"/>
          <w:numId w:val="3"/>
        </w:numPr>
        <w:spacing w:line="360" w:lineRule="auto"/>
        <w:ind w:firstLineChars="0"/>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镜布，提供高、中、低档。</w:t>
      </w:r>
    </w:p>
    <w:p>
      <w:pPr>
        <w:pStyle w:val="23"/>
        <w:numPr>
          <w:ilvl w:val="0"/>
          <w:numId w:val="3"/>
        </w:numPr>
        <w:spacing w:line="360" w:lineRule="auto"/>
        <w:ind w:firstLineChars="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清洗剂，提供高、中、低档。</w:t>
      </w:r>
    </w:p>
    <w:p>
      <w:pPr>
        <w:spacing w:line="360"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热敷眼罩、冷敷眼罩、保健眼贴、湿房镜，提供投标品牌各规格各档次产品。</w:t>
      </w:r>
    </w:p>
    <w:p>
      <w:pPr>
        <w:spacing w:line="360" w:lineRule="auto"/>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u w:val="none"/>
          <w14:textFill>
            <w14:solidFill>
              <w14:schemeClr w14:val="tx1"/>
            </w14:solidFill>
          </w14:textFill>
        </w:rPr>
        <w:t>六、</w:t>
      </w:r>
      <w:r>
        <w:rPr>
          <w:rFonts w:ascii="宋体" w:hAnsi="宋体"/>
          <w:color w:val="000000" w:themeColor="text1"/>
          <w:sz w:val="24"/>
          <w:szCs w:val="24"/>
          <w:u w:val="none"/>
          <w14:textFill>
            <w14:solidFill>
              <w14:schemeClr w14:val="tx1"/>
            </w14:solidFill>
          </w14:textFill>
        </w:rPr>
        <w:t xml:space="preserve"> </w:t>
      </w:r>
      <w:r>
        <w:rPr>
          <w:rFonts w:hint="eastAsia" w:ascii="宋体" w:hAnsi="宋体" w:cs="宋体"/>
          <w:color w:val="000000" w:themeColor="text1"/>
          <w:sz w:val="24"/>
          <w:szCs w:val="24"/>
          <w:u w:val="none"/>
          <w14:textFill>
            <w14:solidFill>
              <w14:schemeClr w14:val="tx1"/>
            </w14:solidFill>
          </w14:textFill>
        </w:rPr>
        <w:t>推荐镜片/定制镜片（国产），推荐品牌包含</w:t>
      </w:r>
      <w:r>
        <w:rPr>
          <w:rFonts w:hint="eastAsia" w:ascii="宋体" w:hAnsi="宋体" w:cs="宋体"/>
          <w:color w:val="000000" w:themeColor="text1"/>
          <w:sz w:val="24"/>
          <w:szCs w:val="24"/>
          <w14:textFill>
            <w14:solidFill>
              <w14:schemeClr w14:val="tx1"/>
            </w14:solidFill>
          </w14:textFill>
        </w:rPr>
        <w:t>：康耐特、明月、天润等。要求投标人提供不少于2个或以上推荐品牌。</w:t>
      </w:r>
    </w:p>
    <w:p>
      <w:pPr>
        <w:spacing w:line="360" w:lineRule="auto"/>
        <w:ind w:firstLine="480" w:firstLineChars="20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七、推荐现片镜片/定制镜片（进</w:t>
      </w:r>
      <w:r>
        <w:rPr>
          <w:rFonts w:hint="eastAsia" w:ascii="宋体" w:hAnsi="宋体" w:cs="宋体"/>
          <w:color w:val="000000" w:themeColor="text1"/>
          <w:sz w:val="24"/>
          <w:szCs w:val="24"/>
          <w:u w:val="none"/>
          <w14:textFill>
            <w14:solidFill>
              <w14:schemeClr w14:val="tx1"/>
            </w14:solidFill>
          </w14:textFill>
        </w:rPr>
        <w:t>口），推荐品牌包含</w:t>
      </w:r>
      <w:r>
        <w:rPr>
          <w:rFonts w:hint="eastAsia" w:ascii="宋体" w:hAnsi="宋体" w:cs="宋体"/>
          <w:color w:val="000000" w:themeColor="text1"/>
          <w:sz w:val="24"/>
          <w:szCs w:val="24"/>
          <w14:textFill>
            <w14:solidFill>
              <w14:schemeClr w14:val="tx1"/>
            </w14:solidFill>
          </w14:textFill>
        </w:rPr>
        <w:t>：依视路、蔡司、豪雅等。要求投标人提供不少于1个或以上推荐品牌。</w:t>
      </w:r>
    </w:p>
    <w:p>
      <w:pPr>
        <w:spacing w:line="360" w:lineRule="auto"/>
        <w:ind w:firstLine="720" w:firstLineChars="300"/>
        <w:rPr>
          <w:rFonts w:ascii="宋体" w:hAns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八、</w:t>
      </w:r>
      <w:r>
        <w:rPr>
          <w:rFonts w:hint="eastAsia" w:ascii="宋体" w:hAnsi="宋体"/>
          <w:color w:val="000000" w:themeColor="text1"/>
          <w:sz w:val="24"/>
          <w:szCs w:val="24"/>
          <w14:textFill>
            <w14:solidFill>
              <w14:schemeClr w14:val="tx1"/>
            </w14:solidFill>
          </w14:textFill>
        </w:rPr>
        <w:t>视觉训练产品类，包括：精细目力训练套装、视觉训练套装、红光治疗仪、光刷治疗仪、弱视治疗仪（单）、弱视治疗仪（双）、翻转拍、全遮盖眼罩、聚散球、裂隙尺训练器、弱视训练治疗、家庭训练基础产品、近视防控训练套装、调节尺测量器、字母表、救生圈卡、手动训练仪、木质训练迷宫、红光治疗、弱视眼贴、压贴棱镜球镜、双眼视觉训练仪等。</w:t>
      </w:r>
    </w:p>
    <w:p>
      <w:pPr>
        <w:spacing w:line="360" w:lineRule="auto"/>
        <w:ind w:firstLine="720" w:firstLineChars="3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九、推荐视觉训练产品类品牌：多宝视、视加、爱乐、保视佳、青西视觉、欧普特等。要求投标人每个系列提供不少于 3 个推荐品牌且具有高中低各档次差异。</w:t>
      </w:r>
    </w:p>
    <w:p>
      <w:pPr>
        <w:spacing w:line="360" w:lineRule="auto"/>
        <w:rPr>
          <w:rFonts w:ascii="宋体" w:hAnsi="宋体"/>
          <w:bCs/>
          <w:sz w:val="24"/>
          <w:szCs w:val="24"/>
          <w:u w:val="none"/>
        </w:rPr>
      </w:pPr>
      <w:r>
        <w:rPr>
          <w:rFonts w:hint="eastAsia" w:ascii="宋体" w:hAnsi="宋体"/>
          <w:bCs/>
          <w:sz w:val="24"/>
          <w:szCs w:val="24"/>
          <w:u w:val="none"/>
        </w:rPr>
        <w:t>备注：</w:t>
      </w:r>
    </w:p>
    <w:p>
      <w:pPr>
        <w:spacing w:line="360" w:lineRule="auto"/>
        <w:rPr>
          <w:rFonts w:ascii="宋体" w:hAnsi="宋体"/>
          <w:sz w:val="24"/>
          <w:szCs w:val="24"/>
        </w:rPr>
      </w:pPr>
      <w:r>
        <w:rPr>
          <w:rFonts w:hint="eastAsia" w:ascii="宋体" w:hAnsi="宋体"/>
          <w:sz w:val="24"/>
          <w:szCs w:val="24"/>
        </w:rPr>
        <w:t>1、“镜架及视训类”采购金额约为85万元/年，2500副/年。</w:t>
      </w:r>
    </w:p>
    <w:p>
      <w:pPr>
        <w:spacing w:line="360" w:lineRule="auto"/>
        <w:rPr>
          <w:rFonts w:ascii="宋体" w:hAnsi="宋体"/>
          <w:sz w:val="24"/>
          <w:szCs w:val="24"/>
        </w:rPr>
      </w:pPr>
      <w:r>
        <w:rPr>
          <w:rFonts w:hint="eastAsia" w:ascii="宋体" w:hAnsi="宋体"/>
          <w:sz w:val="24"/>
          <w:szCs w:val="24"/>
        </w:rPr>
        <w:t>2、投标人在模板清单中自行填写产品系列内容。</w:t>
      </w:r>
    </w:p>
    <w:p>
      <w:pPr>
        <w:spacing w:line="360"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3、镜架及镜片报统一折扣率； “视觉训练产品类”报统一折扣率。</w:t>
      </w:r>
    </w:p>
    <w:p>
      <w:pPr>
        <w:spacing w:line="360" w:lineRule="auto"/>
        <w:rPr>
          <w:rFonts w:ascii="宋体" w:hAnsi="宋体"/>
          <w:color w:val="auto"/>
          <w:sz w:val="24"/>
          <w:szCs w:val="24"/>
        </w:rPr>
      </w:pPr>
      <w:r>
        <w:rPr>
          <w:rFonts w:hint="eastAsia" w:ascii="宋体" w:hAnsi="宋体"/>
          <w:color w:val="auto"/>
          <w:sz w:val="24"/>
          <w:szCs w:val="24"/>
        </w:rPr>
        <w:t>4、付款方式：付款周期为 3 个月，例如供货第 1 个月的货款第 4 个月结算，第 2 个月的货款第 5 个月结算，中标人依据实际供货数量及价格向招标人开具正规发票。</w:t>
      </w:r>
    </w:p>
    <w:p>
      <w:pPr>
        <w:spacing w:line="360" w:lineRule="auto"/>
        <w:rPr>
          <w:rFonts w:ascii="宋体" w:hAnsi="宋体"/>
          <w:sz w:val="24"/>
          <w:szCs w:val="24"/>
        </w:rPr>
      </w:pPr>
      <w:r>
        <w:rPr>
          <w:rFonts w:hint="eastAsia" w:ascii="宋体" w:hAnsi="宋体"/>
          <w:sz w:val="24"/>
          <w:szCs w:val="24"/>
        </w:rPr>
        <w:t>5、配件要求：免费提供各种配件（螺丝、鼻托、靴腿）。</w:t>
      </w:r>
    </w:p>
    <w:p>
      <w:pPr>
        <w:spacing w:line="360" w:lineRule="auto"/>
        <w:rPr>
          <w:rFonts w:ascii="宋体" w:hAnsi="宋体"/>
          <w:sz w:val="24"/>
          <w:szCs w:val="24"/>
        </w:rPr>
      </w:pPr>
      <w:r>
        <w:rPr>
          <w:rFonts w:hint="eastAsia" w:ascii="宋体" w:hAnsi="宋体"/>
          <w:sz w:val="24"/>
          <w:szCs w:val="24"/>
        </w:rPr>
        <w:t>6、样品：需按照所投产品的品牌提供1-3支样品，所有样品递交后一律不予退还。</w:t>
      </w:r>
    </w:p>
    <w:p>
      <w:pPr>
        <w:spacing w:line="360" w:lineRule="auto"/>
        <w:rPr>
          <w:rFonts w:ascii="宋体" w:hAnsi="宋体"/>
          <w:sz w:val="24"/>
          <w:szCs w:val="24"/>
        </w:rPr>
      </w:pPr>
      <w:r>
        <w:rPr>
          <w:rFonts w:hint="eastAsia" w:ascii="宋体" w:hAnsi="宋体"/>
          <w:sz w:val="24"/>
          <w:szCs w:val="24"/>
        </w:rPr>
        <w:t>7、活动支持：乡村振兴、公益科普、学术交流等。</w:t>
      </w:r>
    </w:p>
    <w:p>
      <w:pPr>
        <w:spacing w:line="360" w:lineRule="auto"/>
        <w:rPr>
          <w:rFonts w:ascii="宋体" w:hAnsi="宋体"/>
          <w:sz w:val="24"/>
          <w:szCs w:val="24"/>
        </w:rPr>
      </w:pPr>
      <w:r>
        <w:rPr>
          <w:rFonts w:hint="eastAsia" w:ascii="宋体" w:hAnsi="宋体"/>
          <w:sz w:val="24"/>
          <w:szCs w:val="24"/>
        </w:rPr>
        <w:t>8、保修期：自商品售出后免费保修期不少于1年，仅限于产品本身质量问题。促销活动中，厂家提供给顾客的赠品，也要有保修时效。</w:t>
      </w:r>
    </w:p>
    <w:p>
      <w:pPr>
        <w:spacing w:line="360" w:lineRule="auto"/>
        <w:rPr>
          <w:rFonts w:ascii="宋体" w:hAnsi="宋体"/>
          <w:sz w:val="24"/>
          <w:szCs w:val="24"/>
        </w:rPr>
      </w:pPr>
      <w:r>
        <w:rPr>
          <w:rFonts w:hint="eastAsia" w:ascii="宋体" w:hAnsi="宋体"/>
          <w:sz w:val="24"/>
          <w:szCs w:val="24"/>
        </w:rPr>
        <w:t>9、误期提醒：接到通知后，对缺货或因返工不能如期交货的商品，要第一时间通知招标人，以尽早通知客户，减少客户投诉。</w:t>
      </w:r>
    </w:p>
    <w:p>
      <w:pPr>
        <w:spacing w:line="360" w:lineRule="auto"/>
        <w:rPr>
          <w:rFonts w:ascii="宋体" w:hAnsi="宋体"/>
          <w:sz w:val="24"/>
          <w:szCs w:val="24"/>
        </w:rPr>
      </w:pPr>
      <w:r>
        <w:rPr>
          <w:rFonts w:hint="eastAsia" w:ascii="宋体" w:hAnsi="宋体"/>
          <w:sz w:val="24"/>
          <w:szCs w:val="24"/>
        </w:rPr>
        <w:t>10、发货单上必须明示各产品的含税单价、数量及发货总价。</w:t>
      </w:r>
    </w:p>
    <w:p>
      <w:pPr>
        <w:spacing w:line="360" w:lineRule="auto"/>
        <w:rPr>
          <w:rFonts w:ascii="宋体" w:hAnsi="宋体"/>
          <w:sz w:val="24"/>
          <w:szCs w:val="24"/>
        </w:rPr>
      </w:pPr>
      <w:r>
        <w:rPr>
          <w:rFonts w:hint="eastAsia" w:ascii="宋体" w:hAnsi="宋体"/>
          <w:sz w:val="24"/>
          <w:szCs w:val="24"/>
        </w:rPr>
        <w:t>11、商品自订单下达之日起，国产商品务必确保5个工作日内到货。进口商品国内有现货的，适用国产商品到货时间；国内无现货的，不得超出20个工作日交货。</w:t>
      </w:r>
    </w:p>
    <w:p>
      <w:pPr>
        <w:spacing w:line="360" w:lineRule="auto"/>
        <w:rPr>
          <w:rFonts w:ascii="宋体" w:hAnsi="宋体"/>
          <w:sz w:val="24"/>
          <w:szCs w:val="24"/>
        </w:rPr>
      </w:pPr>
      <w:r>
        <w:rPr>
          <w:rFonts w:hint="eastAsia" w:ascii="宋体" w:hAnsi="宋体"/>
          <w:sz w:val="24"/>
          <w:szCs w:val="24"/>
        </w:rPr>
        <w:t>12、调换货及退货：可提供不少于订货量10%的各产品调换。如遇有效期在6个月内，可以无理由退货。（退货无数量要求）</w:t>
      </w:r>
    </w:p>
    <w:p>
      <w:pPr>
        <w:spacing w:line="360" w:lineRule="auto"/>
        <w:rPr>
          <w:rFonts w:ascii="宋体" w:hAnsi="宋体"/>
          <w:sz w:val="24"/>
          <w:szCs w:val="24"/>
        </w:rPr>
      </w:pPr>
      <w:r>
        <w:rPr>
          <w:rFonts w:hint="eastAsia" w:ascii="宋体" w:hAnsi="宋体"/>
          <w:sz w:val="24"/>
          <w:szCs w:val="24"/>
        </w:rPr>
        <w:t>13、订货量：不限定首次订货量、可少量多次订购。</w:t>
      </w:r>
    </w:p>
    <w:p>
      <w:pPr>
        <w:spacing w:line="360" w:lineRule="auto"/>
        <w:rPr>
          <w:rFonts w:ascii="宋体" w:hAnsi="宋体"/>
          <w:sz w:val="24"/>
          <w:szCs w:val="24"/>
        </w:rPr>
      </w:pPr>
      <w:r>
        <w:rPr>
          <w:rFonts w:hint="eastAsia" w:ascii="宋体" w:hAnsi="宋体"/>
          <w:sz w:val="24"/>
          <w:szCs w:val="24"/>
        </w:rPr>
        <w:t>14、执行标准：均需按照国家相关标准执行。</w:t>
      </w:r>
    </w:p>
    <w:p>
      <w:pPr>
        <w:spacing w:line="360" w:lineRule="auto"/>
        <w:rPr>
          <w:rFonts w:ascii="宋体" w:hAnsi="宋体"/>
          <w:sz w:val="24"/>
          <w:szCs w:val="24"/>
        </w:rPr>
      </w:pPr>
      <w:r>
        <w:rPr>
          <w:rFonts w:hint="eastAsia" w:ascii="宋体" w:hAnsi="宋体"/>
          <w:sz w:val="24"/>
          <w:szCs w:val="24"/>
        </w:rPr>
        <w:t>15、采购周期3年。</w:t>
      </w:r>
    </w:p>
    <w:p>
      <w:pPr>
        <w:pStyle w:val="2"/>
        <w:rPr>
          <w:sz w:val="24"/>
          <w:szCs w:val="24"/>
        </w:rPr>
      </w:pPr>
    </w:p>
    <w:p>
      <w:pPr>
        <w:rPr>
          <w:rFonts w:hint="eastAsia"/>
          <w:b/>
          <w:sz w:val="24"/>
          <w:szCs w:val="24"/>
          <w:lang w:val="en-US" w:eastAsia="zh-CN"/>
        </w:rPr>
      </w:pPr>
      <w:r>
        <w:rPr>
          <w:rFonts w:hint="eastAsia"/>
          <w:b/>
          <w:sz w:val="24"/>
          <w:szCs w:val="24"/>
          <w:lang w:val="en-US" w:eastAsia="zh-CN"/>
        </w:rPr>
        <w:br w:type="page"/>
      </w:r>
    </w:p>
    <w:p>
      <w:pPr>
        <w:pStyle w:val="2"/>
        <w:ind w:left="0" w:leftChars="0" w:firstLine="482" w:firstLineChars="200"/>
        <w:rPr>
          <w:b/>
          <w:sz w:val="24"/>
          <w:szCs w:val="24"/>
        </w:rPr>
      </w:pPr>
      <w:r>
        <w:rPr>
          <w:rFonts w:hint="eastAsia"/>
          <w:b/>
          <w:sz w:val="24"/>
          <w:szCs w:val="24"/>
          <w:lang w:val="en-US" w:eastAsia="zh-CN"/>
        </w:rPr>
        <w:t>0</w:t>
      </w:r>
      <w:r>
        <w:rPr>
          <w:rFonts w:hint="eastAsia"/>
          <w:b/>
          <w:sz w:val="24"/>
          <w:szCs w:val="24"/>
        </w:rPr>
        <w:t xml:space="preserve">2包：角膜塑形镜     </w:t>
      </w:r>
      <w:r>
        <w:rPr>
          <w:rFonts w:hint="eastAsia"/>
          <w:b/>
          <w:sz w:val="24"/>
          <w:szCs w:val="24"/>
        </w:rPr>
        <w:tab/>
      </w:r>
      <w:r>
        <w:rPr>
          <w:rFonts w:hint="eastAsia"/>
          <w:b/>
          <w:sz w:val="24"/>
          <w:szCs w:val="24"/>
        </w:rPr>
        <w:t>市场指导价格基础上下浮率至少15%</w:t>
      </w:r>
    </w:p>
    <w:p>
      <w:pPr>
        <w:pStyle w:val="2"/>
        <w:ind w:left="0" w:leftChars="0" w:firstLine="960" w:firstLineChars="400"/>
        <w:rPr>
          <w:sz w:val="24"/>
          <w:szCs w:val="24"/>
        </w:rPr>
      </w:pPr>
      <w:r>
        <w:rPr>
          <w:rFonts w:hint="eastAsia"/>
          <w:sz w:val="24"/>
          <w:szCs w:val="24"/>
        </w:rPr>
        <w:t>一、角膜塑形镜，要求提供投标品牌的各种系列规格型号，包括：vst设计系列、crt设计系列、各种散光、双轴定制类型及各种标准试戴套片。</w:t>
      </w:r>
    </w:p>
    <w:p>
      <w:pPr>
        <w:pStyle w:val="2"/>
        <w:rPr>
          <w:sz w:val="24"/>
          <w:szCs w:val="24"/>
        </w:rPr>
      </w:pPr>
      <w:r>
        <w:rPr>
          <w:rFonts w:hint="eastAsia"/>
          <w:sz w:val="24"/>
          <w:szCs w:val="24"/>
        </w:rPr>
        <w:t>推荐品牌包含：韩国（露晰得）、日本（目立康）、日本（阿迩法）、美国(欧几里得)、美国（CRT）、中国（普诺瞳）、中国（梦戴维）等，要求投标人提供不少于</w:t>
      </w:r>
      <w:r>
        <w:rPr>
          <w:rFonts w:hint="eastAsia"/>
          <w:color w:val="FF0000"/>
          <w:sz w:val="24"/>
          <w:szCs w:val="24"/>
        </w:rPr>
        <w:t>3</w:t>
      </w:r>
      <w:r>
        <w:rPr>
          <w:rFonts w:hint="eastAsia"/>
          <w:sz w:val="24"/>
          <w:szCs w:val="24"/>
        </w:rPr>
        <w:t>个或以上推荐品牌。</w:t>
      </w:r>
    </w:p>
    <w:p>
      <w:pPr>
        <w:pStyle w:val="2"/>
        <w:rPr>
          <w:sz w:val="24"/>
          <w:szCs w:val="24"/>
        </w:rPr>
      </w:pPr>
      <w:r>
        <w:rPr>
          <w:rFonts w:hint="eastAsia"/>
          <w:sz w:val="24"/>
          <w:szCs w:val="24"/>
        </w:rPr>
        <w:t>二、角膜塑形镜的护理产品，要求提供投标品牌的各种规格型号，包括：护理液、润滑液、吸棒、还原仪、双氧水护理液等。</w:t>
      </w:r>
    </w:p>
    <w:p>
      <w:pPr>
        <w:pStyle w:val="2"/>
        <w:rPr>
          <w:sz w:val="24"/>
          <w:szCs w:val="24"/>
        </w:rPr>
      </w:pPr>
      <w:r>
        <w:rPr>
          <w:rFonts w:hint="eastAsia"/>
          <w:sz w:val="24"/>
          <w:szCs w:val="24"/>
        </w:rPr>
        <w:t>推荐品牌包含：目立康、优卓、博视顿、北京（爱博诺德）等，要求投标人提供不少于1个或以上推荐品牌。</w:t>
      </w:r>
    </w:p>
    <w:p>
      <w:pPr>
        <w:pStyle w:val="2"/>
        <w:ind w:firstLine="960" w:firstLineChars="400"/>
        <w:rPr>
          <w:sz w:val="24"/>
          <w:szCs w:val="24"/>
        </w:rPr>
      </w:pPr>
      <w:r>
        <w:rPr>
          <w:rFonts w:hint="eastAsia"/>
          <w:sz w:val="24"/>
          <w:szCs w:val="24"/>
        </w:rPr>
        <w:t>备注：</w:t>
      </w:r>
    </w:p>
    <w:p>
      <w:pPr>
        <w:pStyle w:val="2"/>
        <w:ind w:firstLine="960" w:firstLineChars="400"/>
        <w:rPr>
          <w:sz w:val="24"/>
          <w:szCs w:val="24"/>
        </w:rPr>
      </w:pPr>
      <w:r>
        <w:rPr>
          <w:rFonts w:hint="eastAsia"/>
          <w:sz w:val="24"/>
          <w:szCs w:val="24"/>
        </w:rPr>
        <w:t>1、角膜塑形镜 ：200副/年。</w:t>
      </w:r>
    </w:p>
    <w:p>
      <w:pPr>
        <w:pStyle w:val="2"/>
        <w:ind w:firstLine="960" w:firstLineChars="400"/>
        <w:rPr>
          <w:color w:val="000000" w:themeColor="text1"/>
          <w:sz w:val="24"/>
          <w:szCs w:val="24"/>
          <w14:textFill>
            <w14:solidFill>
              <w14:schemeClr w14:val="tx1"/>
            </w14:solidFill>
          </w14:textFill>
        </w:rPr>
      </w:pPr>
      <w:r>
        <w:rPr>
          <w:rFonts w:hint="eastAsia"/>
          <w:sz w:val="24"/>
          <w:szCs w:val="24"/>
        </w:rPr>
        <w:t>2、投标人在模板清单中自行填写产品系列内容。样品：提供核心产品样品，</w:t>
      </w:r>
      <w:r>
        <w:rPr>
          <w:rFonts w:hint="eastAsia"/>
          <w:color w:val="000000" w:themeColor="text1"/>
          <w:sz w:val="24"/>
          <w:szCs w:val="24"/>
          <w14:textFill>
            <w14:solidFill>
              <w14:schemeClr w14:val="tx1"/>
            </w14:solidFill>
          </w14:textFill>
        </w:rPr>
        <w:t>样品递交后一律不予退还。</w:t>
      </w:r>
    </w:p>
    <w:p>
      <w:pPr>
        <w:pStyle w:val="2"/>
        <w:ind w:firstLine="960" w:firstLineChars="4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3、报统一折扣率。</w:t>
      </w:r>
    </w:p>
    <w:p>
      <w:pPr>
        <w:pStyle w:val="2"/>
        <w:ind w:firstLine="960" w:firstLineChars="400"/>
        <w:rPr>
          <w:color w:val="auto"/>
          <w:sz w:val="24"/>
          <w:szCs w:val="24"/>
        </w:rPr>
      </w:pPr>
      <w:r>
        <w:rPr>
          <w:rFonts w:hint="eastAsia"/>
          <w:color w:val="auto"/>
          <w:sz w:val="24"/>
          <w:szCs w:val="24"/>
        </w:rPr>
        <w:t>4、付款方式：付款周期为 3 个月，例如供货第 1 个月的货款第 4 个月结算，第 2 个月的货款第 5 个月结算，中标人依据实际供货数量及价格向招标人开具正规发票。</w:t>
      </w:r>
    </w:p>
    <w:p>
      <w:pPr>
        <w:pStyle w:val="2"/>
        <w:ind w:firstLine="960" w:firstLineChars="400"/>
        <w:rPr>
          <w:sz w:val="24"/>
          <w:szCs w:val="24"/>
        </w:rPr>
      </w:pPr>
      <w:r>
        <w:rPr>
          <w:rFonts w:hint="eastAsia"/>
          <w:sz w:val="24"/>
          <w:szCs w:val="24"/>
        </w:rPr>
        <w:t>5、免费调换参数比例：10%。</w:t>
      </w:r>
    </w:p>
    <w:p>
      <w:pPr>
        <w:pStyle w:val="2"/>
        <w:ind w:firstLine="960" w:firstLineChars="400"/>
        <w:rPr>
          <w:sz w:val="24"/>
          <w:szCs w:val="24"/>
        </w:rPr>
      </w:pPr>
      <w:r>
        <w:rPr>
          <w:rFonts w:hint="eastAsia"/>
          <w:sz w:val="24"/>
          <w:szCs w:val="24"/>
        </w:rPr>
        <w:t>6、三个月内碎片免费调换比例：5% 。</w:t>
      </w:r>
    </w:p>
    <w:p>
      <w:pPr>
        <w:pStyle w:val="2"/>
        <w:ind w:firstLine="960" w:firstLineChars="400"/>
        <w:rPr>
          <w:sz w:val="24"/>
          <w:szCs w:val="24"/>
        </w:rPr>
      </w:pPr>
      <w:r>
        <w:rPr>
          <w:rFonts w:hint="eastAsia"/>
          <w:sz w:val="24"/>
          <w:szCs w:val="24"/>
        </w:rPr>
        <w:t>7、活动支持：乡村振兴、公益科普、学术交流等。</w:t>
      </w:r>
    </w:p>
    <w:p>
      <w:pPr>
        <w:pStyle w:val="2"/>
        <w:ind w:firstLine="960" w:firstLineChars="400"/>
        <w:rPr>
          <w:sz w:val="24"/>
          <w:szCs w:val="24"/>
        </w:rPr>
      </w:pPr>
      <w:r>
        <w:rPr>
          <w:rFonts w:hint="eastAsia"/>
          <w:sz w:val="24"/>
          <w:szCs w:val="24"/>
        </w:rPr>
        <w:t>8、保修期：非个人造成的损坏，自商品售出后免费保修期不少于1年，仅限于产品本身质量问题。促销活动中，厂家提供给顾客的赠品，也要有保修时效。</w:t>
      </w:r>
    </w:p>
    <w:p>
      <w:pPr>
        <w:pStyle w:val="2"/>
        <w:ind w:firstLine="960" w:firstLineChars="400"/>
        <w:rPr>
          <w:sz w:val="24"/>
          <w:szCs w:val="24"/>
        </w:rPr>
      </w:pPr>
      <w:r>
        <w:rPr>
          <w:rFonts w:hint="eastAsia"/>
          <w:sz w:val="24"/>
          <w:szCs w:val="24"/>
        </w:rPr>
        <w:t>9、误期提醒：接到通知后，对缺货或因返工不能如期交货的商品，要第一时间通知招标人，以尽早通知客户，减少客户投诉。</w:t>
      </w:r>
    </w:p>
    <w:p>
      <w:pPr>
        <w:pStyle w:val="2"/>
        <w:ind w:firstLine="960" w:firstLineChars="400"/>
        <w:rPr>
          <w:sz w:val="24"/>
          <w:szCs w:val="24"/>
        </w:rPr>
      </w:pPr>
      <w:r>
        <w:rPr>
          <w:rFonts w:hint="eastAsia"/>
          <w:sz w:val="24"/>
          <w:szCs w:val="24"/>
        </w:rPr>
        <w:t>10、产品一旦出现售后问题，应无理由退换货。</w:t>
      </w:r>
    </w:p>
    <w:p>
      <w:pPr>
        <w:pStyle w:val="2"/>
        <w:ind w:firstLine="960" w:firstLineChars="400"/>
        <w:rPr>
          <w:sz w:val="24"/>
          <w:szCs w:val="24"/>
        </w:rPr>
      </w:pPr>
      <w:r>
        <w:rPr>
          <w:rFonts w:hint="eastAsia"/>
          <w:sz w:val="24"/>
          <w:szCs w:val="24"/>
        </w:rPr>
        <w:t>11、发货单上必须明示各产品的含税单价、数量及发货总价。</w:t>
      </w:r>
    </w:p>
    <w:p>
      <w:pPr>
        <w:pStyle w:val="2"/>
        <w:ind w:firstLine="960" w:firstLineChars="400"/>
        <w:rPr>
          <w:sz w:val="24"/>
          <w:szCs w:val="24"/>
        </w:rPr>
      </w:pPr>
      <w:r>
        <w:rPr>
          <w:rFonts w:hint="eastAsia"/>
          <w:sz w:val="24"/>
          <w:szCs w:val="24"/>
        </w:rPr>
        <w:t>12、调换货及退货：可提供不少于订货量10%的各产品调换。如遇有效期在6个月内，可以无理由退货。（退货无数量要求）</w:t>
      </w:r>
    </w:p>
    <w:p>
      <w:pPr>
        <w:pStyle w:val="2"/>
        <w:ind w:firstLine="960" w:firstLineChars="400"/>
        <w:rPr>
          <w:sz w:val="24"/>
          <w:szCs w:val="24"/>
        </w:rPr>
      </w:pPr>
      <w:r>
        <w:rPr>
          <w:rFonts w:hint="eastAsia"/>
          <w:sz w:val="24"/>
          <w:szCs w:val="24"/>
        </w:rPr>
        <w:t>13、商品自订单下达之日起，现片不超过5个工作日交货，定制片国产的，不超过15个工作日交货，定制片国外产的，不超过25个工作日交货。</w:t>
      </w:r>
    </w:p>
    <w:p>
      <w:pPr>
        <w:pStyle w:val="2"/>
        <w:ind w:firstLine="960" w:firstLineChars="400"/>
        <w:rPr>
          <w:sz w:val="24"/>
          <w:szCs w:val="24"/>
        </w:rPr>
      </w:pPr>
      <w:r>
        <w:rPr>
          <w:rFonts w:hint="eastAsia"/>
          <w:sz w:val="24"/>
          <w:szCs w:val="24"/>
        </w:rPr>
        <w:t>14、执行标准：均需按照国家相关标准执行。</w:t>
      </w:r>
    </w:p>
    <w:p>
      <w:pPr>
        <w:pStyle w:val="2"/>
        <w:ind w:firstLine="960" w:firstLineChars="400"/>
        <w:rPr>
          <w:sz w:val="24"/>
          <w:szCs w:val="24"/>
        </w:rPr>
      </w:pPr>
      <w:r>
        <w:rPr>
          <w:rFonts w:hint="eastAsia"/>
          <w:sz w:val="24"/>
          <w:szCs w:val="24"/>
        </w:rPr>
        <w:t>15、采购周期3年。</w:t>
      </w:r>
    </w:p>
    <w:p>
      <w:pPr>
        <w:rPr>
          <w:rFonts w:hint="eastAsia"/>
          <w:b/>
          <w:sz w:val="24"/>
          <w:szCs w:val="24"/>
          <w:lang w:val="en-US" w:eastAsia="zh-CN"/>
        </w:rPr>
      </w:pPr>
      <w:r>
        <w:rPr>
          <w:rFonts w:hint="eastAsia"/>
          <w:b/>
          <w:sz w:val="24"/>
          <w:szCs w:val="24"/>
          <w:lang w:val="en-US" w:eastAsia="zh-CN"/>
        </w:rPr>
        <w:br w:type="page"/>
      </w:r>
    </w:p>
    <w:p>
      <w:pPr>
        <w:pStyle w:val="2"/>
        <w:ind w:left="0" w:leftChars="0" w:firstLine="241" w:firstLineChars="100"/>
        <w:rPr>
          <w:b/>
          <w:sz w:val="24"/>
          <w:szCs w:val="24"/>
        </w:rPr>
      </w:pPr>
      <w:r>
        <w:rPr>
          <w:rFonts w:hint="eastAsia"/>
          <w:b/>
          <w:sz w:val="24"/>
          <w:szCs w:val="24"/>
          <w:lang w:val="en-US" w:eastAsia="zh-CN"/>
        </w:rPr>
        <w:t>0</w:t>
      </w:r>
      <w:r>
        <w:rPr>
          <w:rFonts w:hint="eastAsia"/>
          <w:b/>
          <w:sz w:val="24"/>
          <w:szCs w:val="24"/>
        </w:rPr>
        <w:t>3包：接触镜含软镜和硬镜。  市场指导价格基础上下浮率至少15%</w:t>
      </w:r>
    </w:p>
    <w:p>
      <w:pPr>
        <w:pStyle w:val="2"/>
        <w:ind w:left="0" w:leftChars="0"/>
        <w:rPr>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核心产品：硬性角膜接触镜</w:t>
      </w:r>
    </w:p>
    <w:p>
      <w:pPr>
        <w:pStyle w:val="2"/>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一、软性角膜接触镜，包括：年抛系列、半年抛系列、月抛系列、日抛系列、彩片系列、非球面系列、硅水凝胶系列、散光定制系列、近视控制系列、角膜绷带镜等。</w:t>
      </w:r>
    </w:p>
    <w:p>
      <w:pPr>
        <w:pStyle w:val="2"/>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推荐品牌包含：博士伦、卫康、视康、海昌等品牌。要求投标人提供不少于推荐品牌中的2个或以上推荐品牌。</w:t>
      </w:r>
    </w:p>
    <w:p>
      <w:pPr>
        <w:pStyle w:val="2"/>
        <w:rPr>
          <w:sz w:val="24"/>
          <w:szCs w:val="24"/>
        </w:rPr>
      </w:pPr>
      <w:r>
        <w:rPr>
          <w:rFonts w:hint="eastAsia"/>
          <w:sz w:val="24"/>
          <w:szCs w:val="24"/>
        </w:rPr>
        <w:t>二、软镜护理产品，要求提供投标品牌的各种系列规格型号。</w:t>
      </w:r>
    </w:p>
    <w:p>
      <w:pPr>
        <w:pStyle w:val="2"/>
        <w:rPr>
          <w:sz w:val="24"/>
          <w:szCs w:val="24"/>
        </w:rPr>
      </w:pPr>
      <w:r>
        <w:rPr>
          <w:rFonts w:hint="eastAsia"/>
          <w:sz w:val="24"/>
          <w:szCs w:val="24"/>
        </w:rPr>
        <w:t>推荐品牌包含：博士伦、卫康、视康、海昌等品牌。要求投标人提供不少于推荐品牌中的2个或以上推荐品牌。</w:t>
      </w:r>
    </w:p>
    <w:p>
      <w:pPr>
        <w:pStyle w:val="2"/>
        <w:rPr>
          <w:sz w:val="24"/>
          <w:szCs w:val="24"/>
        </w:rPr>
      </w:pPr>
      <w:r>
        <w:rPr>
          <w:rFonts w:hint="eastAsia"/>
          <w:sz w:val="24"/>
          <w:szCs w:val="24"/>
        </w:rPr>
        <w:t>三、硬性角膜接触镜，包括：双非球面系列、RGP常规片、RGP YK片等。</w:t>
      </w:r>
    </w:p>
    <w:p>
      <w:pPr>
        <w:pStyle w:val="2"/>
        <w:rPr>
          <w:sz w:val="24"/>
          <w:szCs w:val="24"/>
        </w:rPr>
      </w:pPr>
      <w:r>
        <w:rPr>
          <w:rFonts w:hint="eastAsia"/>
          <w:sz w:val="24"/>
          <w:szCs w:val="24"/>
        </w:rPr>
        <w:t>推荐品牌包含：目立康、露晰得等。要求投标人提供不少于1个或以上推荐品牌。</w:t>
      </w:r>
    </w:p>
    <w:p>
      <w:pPr>
        <w:pStyle w:val="2"/>
        <w:rPr>
          <w:sz w:val="24"/>
          <w:szCs w:val="24"/>
        </w:rPr>
      </w:pPr>
      <w:r>
        <w:rPr>
          <w:rFonts w:hint="eastAsia"/>
          <w:sz w:val="24"/>
          <w:szCs w:val="24"/>
        </w:rPr>
        <w:t>四、硬镜护理产品，要求提供投标品牌的各种规格型号，包括：护理液、润滑液、吸棒、还原仪、双氧水护理液等。</w:t>
      </w:r>
    </w:p>
    <w:p>
      <w:pPr>
        <w:pStyle w:val="2"/>
        <w:rPr>
          <w:sz w:val="24"/>
          <w:szCs w:val="24"/>
        </w:rPr>
      </w:pPr>
      <w:r>
        <w:rPr>
          <w:rFonts w:hint="eastAsia"/>
          <w:sz w:val="24"/>
          <w:szCs w:val="24"/>
        </w:rPr>
        <w:t>推荐品牌包含：目立康、优卓、博视顿、北京（爱博诺德）等，要求投标人提供不少于1个或以上推荐品牌。</w:t>
      </w:r>
    </w:p>
    <w:p>
      <w:pPr>
        <w:pStyle w:val="2"/>
        <w:rPr>
          <w:sz w:val="24"/>
          <w:szCs w:val="24"/>
        </w:rPr>
      </w:pPr>
      <w:r>
        <w:rPr>
          <w:rFonts w:hint="eastAsia"/>
          <w:sz w:val="24"/>
          <w:szCs w:val="24"/>
        </w:rPr>
        <w:t>备注：</w:t>
      </w:r>
    </w:p>
    <w:p>
      <w:pPr>
        <w:pStyle w:val="2"/>
        <w:rPr>
          <w:sz w:val="24"/>
          <w:szCs w:val="24"/>
        </w:rPr>
      </w:pPr>
      <w:r>
        <w:rPr>
          <w:rFonts w:hint="eastAsia"/>
          <w:sz w:val="24"/>
          <w:szCs w:val="24"/>
        </w:rPr>
        <w:t>1、“接触镜类”采购金额约为20万元。硬镜20片/年，软镜400片/年。</w:t>
      </w:r>
    </w:p>
    <w:p>
      <w:pPr>
        <w:pStyle w:val="2"/>
        <w:rPr>
          <w:sz w:val="24"/>
          <w:szCs w:val="24"/>
        </w:rPr>
      </w:pPr>
      <w:r>
        <w:rPr>
          <w:rFonts w:hint="eastAsia"/>
          <w:sz w:val="24"/>
          <w:szCs w:val="24"/>
        </w:rPr>
        <w:t>2、投标人在模板清单中自行填写产品系列内容。样品：提供核心产品样品，样品递交后一律不予退还。</w:t>
      </w:r>
    </w:p>
    <w:p>
      <w:pPr>
        <w:pStyle w:val="2"/>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3、报统一折扣率。</w:t>
      </w:r>
    </w:p>
    <w:p>
      <w:pPr>
        <w:pStyle w:val="2"/>
        <w:rPr>
          <w:color w:val="auto"/>
          <w:sz w:val="24"/>
          <w:szCs w:val="24"/>
        </w:rPr>
      </w:pPr>
      <w:r>
        <w:rPr>
          <w:rFonts w:hint="eastAsia"/>
          <w:color w:val="auto"/>
          <w:sz w:val="24"/>
          <w:szCs w:val="24"/>
        </w:rPr>
        <w:t xml:space="preserve">4、付款方式：付款周期为 3 个月，例如供货第 1 个月的货款第 4 个月结算，第 2 个月的货款第 5 个月结算，中标人依据实际供货数量及价格向招标人开具正规发票。  </w:t>
      </w:r>
    </w:p>
    <w:p>
      <w:pPr>
        <w:pStyle w:val="2"/>
        <w:rPr>
          <w:sz w:val="24"/>
          <w:szCs w:val="24"/>
        </w:rPr>
      </w:pPr>
      <w:r>
        <w:rPr>
          <w:rFonts w:hint="eastAsia"/>
          <w:sz w:val="24"/>
          <w:szCs w:val="24"/>
        </w:rPr>
        <w:t>5、免费调换参数比例：10%。</w:t>
      </w:r>
    </w:p>
    <w:p>
      <w:pPr>
        <w:pStyle w:val="2"/>
        <w:rPr>
          <w:sz w:val="24"/>
          <w:szCs w:val="24"/>
        </w:rPr>
      </w:pPr>
      <w:r>
        <w:rPr>
          <w:rFonts w:hint="eastAsia"/>
          <w:sz w:val="24"/>
          <w:szCs w:val="24"/>
        </w:rPr>
        <w:t>6、三个月内碎片免费调换比例：5% 。</w:t>
      </w:r>
    </w:p>
    <w:p>
      <w:pPr>
        <w:pStyle w:val="2"/>
        <w:rPr>
          <w:sz w:val="24"/>
          <w:szCs w:val="24"/>
        </w:rPr>
      </w:pPr>
      <w:r>
        <w:rPr>
          <w:rFonts w:hint="eastAsia"/>
          <w:sz w:val="24"/>
          <w:szCs w:val="24"/>
        </w:rPr>
        <w:t>7、活动支持：乡村振兴、公益科普、学术交流等。</w:t>
      </w:r>
    </w:p>
    <w:p>
      <w:pPr>
        <w:pStyle w:val="2"/>
        <w:rPr>
          <w:sz w:val="24"/>
          <w:szCs w:val="24"/>
        </w:rPr>
      </w:pPr>
      <w:r>
        <w:rPr>
          <w:rFonts w:hint="eastAsia"/>
          <w:sz w:val="24"/>
          <w:szCs w:val="24"/>
        </w:rPr>
        <w:t>8、保修期：非个人造成的损坏，自商品售出后免费保修期不少于1年，仅限于产品本身质量问题。促销活动中，厂家提供给顾客的赠品，也要有保修时效。</w:t>
      </w:r>
    </w:p>
    <w:p>
      <w:pPr>
        <w:pStyle w:val="2"/>
        <w:rPr>
          <w:sz w:val="24"/>
          <w:szCs w:val="24"/>
        </w:rPr>
      </w:pPr>
      <w:r>
        <w:rPr>
          <w:rFonts w:hint="eastAsia"/>
          <w:sz w:val="24"/>
          <w:szCs w:val="24"/>
        </w:rPr>
        <w:t>9、误期提醒：接到通知后，对缺货或因返工不能如期交货的商品，要第一时间通知招标人，以尽早通知客户，减少客户投诉。</w:t>
      </w:r>
    </w:p>
    <w:p>
      <w:pPr>
        <w:pStyle w:val="2"/>
        <w:rPr>
          <w:sz w:val="24"/>
          <w:szCs w:val="24"/>
        </w:rPr>
      </w:pPr>
      <w:r>
        <w:rPr>
          <w:rFonts w:hint="eastAsia"/>
          <w:sz w:val="24"/>
          <w:szCs w:val="24"/>
        </w:rPr>
        <w:t>10、产品一旦出现售后问题，应无理由退换货。</w:t>
      </w:r>
    </w:p>
    <w:p>
      <w:pPr>
        <w:pStyle w:val="2"/>
        <w:rPr>
          <w:sz w:val="24"/>
          <w:szCs w:val="24"/>
        </w:rPr>
      </w:pPr>
      <w:r>
        <w:rPr>
          <w:rFonts w:hint="eastAsia"/>
          <w:sz w:val="24"/>
          <w:szCs w:val="24"/>
        </w:rPr>
        <w:t>11、发货单上必须明示各产品的含税单价、数量及发货总价。</w:t>
      </w:r>
    </w:p>
    <w:p>
      <w:pPr>
        <w:pStyle w:val="2"/>
        <w:rPr>
          <w:sz w:val="24"/>
          <w:szCs w:val="24"/>
        </w:rPr>
      </w:pPr>
      <w:r>
        <w:rPr>
          <w:rFonts w:hint="eastAsia"/>
          <w:sz w:val="24"/>
          <w:szCs w:val="24"/>
        </w:rPr>
        <w:t>12、调换货及退货：可提供不少于订货量10%的各产品调换。如遇有效期在6个月内，可以无理由退货。（退货无数量要求）</w:t>
      </w:r>
    </w:p>
    <w:p>
      <w:pPr>
        <w:pStyle w:val="2"/>
        <w:rPr>
          <w:sz w:val="24"/>
          <w:szCs w:val="24"/>
        </w:rPr>
      </w:pPr>
      <w:r>
        <w:rPr>
          <w:rFonts w:hint="eastAsia"/>
          <w:sz w:val="24"/>
          <w:szCs w:val="24"/>
        </w:rPr>
        <w:t>13、商品自订单下达之日起，现片不超过5个工作日交货，定制片国产的，不超过15个工作日交货，定制片国外产的，不超过25个工作日交货。</w:t>
      </w:r>
    </w:p>
    <w:p>
      <w:pPr>
        <w:pStyle w:val="2"/>
        <w:rPr>
          <w:sz w:val="24"/>
          <w:szCs w:val="24"/>
        </w:rPr>
      </w:pPr>
      <w:r>
        <w:rPr>
          <w:rFonts w:hint="eastAsia"/>
          <w:sz w:val="24"/>
          <w:szCs w:val="24"/>
        </w:rPr>
        <w:t>14、执行标准：均需按照国家相关标准执行。</w:t>
      </w:r>
    </w:p>
    <w:p>
      <w:pPr>
        <w:pStyle w:val="2"/>
        <w:ind w:left="0" w:leftChars="0" w:firstLine="960" w:firstLineChars="400"/>
        <w:rPr>
          <w:sz w:val="24"/>
          <w:szCs w:val="24"/>
        </w:rPr>
      </w:pPr>
      <w:r>
        <w:rPr>
          <w:rFonts w:hint="eastAsia"/>
          <w:sz w:val="24"/>
          <w:szCs w:val="24"/>
        </w:rPr>
        <w:t>15、采购周期3年。</w:t>
      </w:r>
    </w:p>
    <w:p>
      <w:pPr>
        <w:jc w:val="center"/>
        <w:rPr>
          <w:rFonts w:hint="eastAsia"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rPr>
        <w:t xml:space="preserve"> </w:t>
      </w:r>
    </w:p>
    <w:p>
      <w:pPr>
        <w:rPr>
          <w:rFonts w:hint="eastAsia"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rPr>
        <w:br w:type="page"/>
      </w:r>
    </w:p>
    <w:p>
      <w:pPr>
        <w:jc w:val="center"/>
        <w:rPr>
          <w:rFonts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lang w:val="en-US" w:eastAsia="zh-CN"/>
        </w:rPr>
        <w:t>蚌埠二院医学视光中心采购一批耗材项目</w:t>
      </w:r>
      <w:r>
        <w:rPr>
          <w:rFonts w:hint="eastAsia" w:ascii="新宋体" w:hAnsi="新宋体" w:eastAsia="新宋体" w:cs="方正小标宋简体"/>
          <w:b/>
          <w:sz w:val="32"/>
          <w:szCs w:val="36"/>
          <w:highlight w:val="none"/>
        </w:rPr>
        <w:t xml:space="preserve">采购意向及需求公示的反馈意见 </w:t>
      </w:r>
    </w:p>
    <w:p>
      <w:pPr>
        <w:rPr>
          <w:rFonts w:ascii="宋体" w:hAnsi="宋体" w:cs="宋体"/>
          <w:sz w:val="28"/>
          <w:szCs w:val="28"/>
          <w:highlight w:val="none"/>
        </w:rPr>
      </w:pPr>
      <w:r>
        <w:rPr>
          <w:rFonts w:hint="eastAsia"/>
          <w:sz w:val="28"/>
          <w:szCs w:val="28"/>
          <w:highlight w:val="none"/>
          <w:lang w:val="zh-CN"/>
        </w:rPr>
        <w:t>安徽省志成建设工程咨询股份有限公司</w:t>
      </w:r>
      <w:r>
        <w:rPr>
          <w:rFonts w:hint="eastAsia" w:ascii="宋体" w:hAnsi="宋体" w:cs="宋体"/>
          <w:sz w:val="28"/>
          <w:szCs w:val="28"/>
          <w:highlight w:val="none"/>
        </w:rPr>
        <w:t>：</w:t>
      </w:r>
    </w:p>
    <w:p>
      <w:pPr>
        <w:ind w:firstLine="560" w:firstLineChars="200"/>
        <w:rPr>
          <w:rFonts w:ascii="宋体" w:hAnsi="宋体" w:cs="宋体"/>
          <w:sz w:val="28"/>
          <w:szCs w:val="28"/>
          <w:highlight w:val="none"/>
        </w:rPr>
      </w:pPr>
      <w:r>
        <w:rPr>
          <w:rFonts w:hint="eastAsia" w:ascii="宋体" w:hAnsi="宋体" w:cs="宋体"/>
          <w:sz w:val="28"/>
          <w:szCs w:val="28"/>
          <w:highlight w:val="none"/>
        </w:rPr>
        <w:t>针对蚌埠二院医学视光中心采购一批耗材项目</w:t>
      </w:r>
      <w:r>
        <w:rPr>
          <w:rFonts w:hint="eastAsia" w:ascii="宋体" w:hAnsi="宋体" w:cs="宋体"/>
          <w:sz w:val="28"/>
          <w:szCs w:val="28"/>
          <w:highlight w:val="none"/>
          <w:lang w:eastAsia="zh-CN"/>
        </w:rPr>
        <w:t>，</w:t>
      </w:r>
      <w:r>
        <w:rPr>
          <w:rFonts w:hint="eastAsia" w:ascii="宋体" w:hAnsi="宋体" w:cs="宋体"/>
          <w:sz w:val="28"/>
          <w:szCs w:val="28"/>
          <w:highlight w:val="none"/>
          <w:lang w:val="en-US" w:eastAsia="zh-CN"/>
        </w:rPr>
        <w:t>项目包号：</w:t>
      </w:r>
      <w:r>
        <w:rPr>
          <w:rFonts w:hint="eastAsia" w:ascii="宋体" w:hAnsi="宋体" w:cs="宋体"/>
          <w:sz w:val="28"/>
          <w:szCs w:val="28"/>
          <w:highlight w:val="none"/>
          <w:u w:val="single"/>
          <w:lang w:val="en-US" w:eastAsia="zh-CN"/>
        </w:rPr>
        <w:t xml:space="preserve">  </w:t>
      </w:r>
      <w:r>
        <w:rPr>
          <w:rFonts w:hint="eastAsia" w:ascii="宋体" w:hAnsi="宋体" w:cs="宋体"/>
          <w:sz w:val="28"/>
          <w:szCs w:val="28"/>
          <w:highlight w:val="none"/>
        </w:rPr>
        <w:t>,采购意向及需求公示，我单位反馈意见如下：</w:t>
      </w:r>
    </w:p>
    <w:p>
      <w:pPr>
        <w:ind w:firstLine="560" w:firstLineChars="200"/>
        <w:outlineLvl w:val="0"/>
        <w:rPr>
          <w:rFonts w:ascii="宋体"/>
          <w:sz w:val="28"/>
          <w:szCs w:val="28"/>
          <w:highlight w:val="none"/>
        </w:rPr>
      </w:pPr>
      <w:r>
        <w:rPr>
          <w:rFonts w:hint="eastAsia" w:ascii="宋体" w:hAnsi="宋体" w:cs="宋体"/>
          <w:sz w:val="28"/>
          <w:szCs w:val="28"/>
          <w:highlight w:val="none"/>
        </w:rPr>
        <w:t>一、需求存在倾向性内容，建议进行修改，修改意见如下：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ind w:firstLine="560" w:firstLineChars="200"/>
        <w:outlineLvl w:val="0"/>
        <w:rPr>
          <w:rFonts w:ascii="宋体"/>
          <w:sz w:val="28"/>
          <w:szCs w:val="28"/>
          <w:highlight w:val="none"/>
        </w:rPr>
      </w:pPr>
      <w:r>
        <w:rPr>
          <w:rFonts w:hint="eastAsia" w:ascii="宋体" w:hAnsi="宋体" w:cs="宋体"/>
          <w:sz w:val="28"/>
          <w:szCs w:val="28"/>
          <w:highlight w:val="none"/>
        </w:rPr>
        <w:t>二、技术需求存在不明确（或不完整）内容，无法报价，建议进行完善，完善意见如下：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pStyle w:val="13"/>
        <w:snapToGrid w:val="0"/>
        <w:spacing w:beforeAutospacing="0" w:afterAutospacing="0" w:line="360" w:lineRule="auto"/>
        <w:outlineLvl w:val="2"/>
        <w:rPr>
          <w:rFonts w:ascii="宋体" w:hAnsi="宋体" w:cs="宋体"/>
          <w:bCs/>
          <w:szCs w:val="24"/>
          <w:highlight w:val="none"/>
        </w:rPr>
      </w:pPr>
      <w:r>
        <w:rPr>
          <w:rFonts w:hint="eastAsia" w:ascii="宋体" w:hAnsi="宋体" w:cs="宋体"/>
          <w:sz w:val="28"/>
          <w:szCs w:val="28"/>
          <w:highlight w:val="none"/>
        </w:rPr>
        <w:t>特此函告</w:t>
      </w:r>
    </w:p>
    <w:p>
      <w:pPr>
        <w:rPr>
          <w:rFonts w:ascii="宋体" w:hAnsi="宋体" w:eastAsia="宋体" w:cs="宋体"/>
          <w:kern w:val="0"/>
          <w:sz w:val="28"/>
          <w:szCs w:val="28"/>
          <w:highlight w:val="none"/>
        </w:rPr>
      </w:pP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990EA0"/>
    <w:multiLevelType w:val="multilevel"/>
    <w:tmpl w:val="34990EA0"/>
    <w:lvl w:ilvl="0" w:tentative="0">
      <w:start w:val="1"/>
      <w:numFmt w:val="decimal"/>
      <w:lvlText w:val="%1"/>
      <w:lvlJc w:val="left"/>
      <w:pPr>
        <w:ind w:left="432" w:hanging="432"/>
      </w:pPr>
    </w:lvl>
    <w:lvl w:ilvl="1" w:tentative="0">
      <w:start w:val="1"/>
      <w:numFmt w:val="decimal"/>
      <w:pStyle w:val="5"/>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1">
    <w:nsid w:val="6BCC2C9D"/>
    <w:multiLevelType w:val="multilevel"/>
    <w:tmpl w:val="6BCC2C9D"/>
    <w:lvl w:ilvl="0" w:tentative="0">
      <w:start w:val="3"/>
      <w:numFmt w:val="japaneseCounting"/>
      <w:lvlText w:val="%1、"/>
      <w:lvlJc w:val="left"/>
      <w:pPr>
        <w:ind w:left="960" w:hanging="48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79A6B715"/>
    <w:multiLevelType w:val="singleLevel"/>
    <w:tmpl w:val="79A6B715"/>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ZTljMTNiZjRiMGNlYzk0MzU2MGE3MTVkMzExZDMifQ=="/>
  </w:docVars>
  <w:rsids>
    <w:rsidRoot w:val="005F0D25"/>
    <w:rsid w:val="00001AB7"/>
    <w:rsid w:val="000455A0"/>
    <w:rsid w:val="00057EE8"/>
    <w:rsid w:val="000826F6"/>
    <w:rsid w:val="000A3858"/>
    <w:rsid w:val="00103C06"/>
    <w:rsid w:val="001108BE"/>
    <w:rsid w:val="00111564"/>
    <w:rsid w:val="00172802"/>
    <w:rsid w:val="001E5948"/>
    <w:rsid w:val="001E6438"/>
    <w:rsid w:val="00232398"/>
    <w:rsid w:val="002503E4"/>
    <w:rsid w:val="00295E9E"/>
    <w:rsid w:val="002A5E17"/>
    <w:rsid w:val="002D1234"/>
    <w:rsid w:val="002D37A6"/>
    <w:rsid w:val="00375EB8"/>
    <w:rsid w:val="003F6848"/>
    <w:rsid w:val="00435A2E"/>
    <w:rsid w:val="00446C11"/>
    <w:rsid w:val="00507E64"/>
    <w:rsid w:val="00560AB1"/>
    <w:rsid w:val="005F0D25"/>
    <w:rsid w:val="005F1D6A"/>
    <w:rsid w:val="006E3AAC"/>
    <w:rsid w:val="00712C50"/>
    <w:rsid w:val="00753E79"/>
    <w:rsid w:val="00794664"/>
    <w:rsid w:val="00794D34"/>
    <w:rsid w:val="007A4073"/>
    <w:rsid w:val="00815D6B"/>
    <w:rsid w:val="0088589E"/>
    <w:rsid w:val="008B782D"/>
    <w:rsid w:val="008E306A"/>
    <w:rsid w:val="00916A8B"/>
    <w:rsid w:val="00942DF4"/>
    <w:rsid w:val="00977CBE"/>
    <w:rsid w:val="009B3185"/>
    <w:rsid w:val="009D7E78"/>
    <w:rsid w:val="00A34A7E"/>
    <w:rsid w:val="00A47EAA"/>
    <w:rsid w:val="00A67BD8"/>
    <w:rsid w:val="00A7131D"/>
    <w:rsid w:val="00A95062"/>
    <w:rsid w:val="00BA4BC5"/>
    <w:rsid w:val="00BB5340"/>
    <w:rsid w:val="00C0304B"/>
    <w:rsid w:val="00C62788"/>
    <w:rsid w:val="00C74048"/>
    <w:rsid w:val="00DE288B"/>
    <w:rsid w:val="00DE7C14"/>
    <w:rsid w:val="00DF393F"/>
    <w:rsid w:val="00F15A22"/>
    <w:rsid w:val="00F63116"/>
    <w:rsid w:val="00FC0DEB"/>
    <w:rsid w:val="02F95C17"/>
    <w:rsid w:val="03F618F7"/>
    <w:rsid w:val="05BB0E6A"/>
    <w:rsid w:val="07884358"/>
    <w:rsid w:val="088157DD"/>
    <w:rsid w:val="0EA531C5"/>
    <w:rsid w:val="0F7977F4"/>
    <w:rsid w:val="102871DA"/>
    <w:rsid w:val="13CC35BB"/>
    <w:rsid w:val="19E1315F"/>
    <w:rsid w:val="1A4F03D7"/>
    <w:rsid w:val="1A5F0800"/>
    <w:rsid w:val="20701E96"/>
    <w:rsid w:val="20CA5CC3"/>
    <w:rsid w:val="21580108"/>
    <w:rsid w:val="24AE53EF"/>
    <w:rsid w:val="2D925870"/>
    <w:rsid w:val="3A59465F"/>
    <w:rsid w:val="3D3F4BEA"/>
    <w:rsid w:val="442C0469"/>
    <w:rsid w:val="44C73830"/>
    <w:rsid w:val="45156B9E"/>
    <w:rsid w:val="480656EC"/>
    <w:rsid w:val="48212119"/>
    <w:rsid w:val="4C264F39"/>
    <w:rsid w:val="4D071309"/>
    <w:rsid w:val="52FB7715"/>
    <w:rsid w:val="54707C3B"/>
    <w:rsid w:val="557F2179"/>
    <w:rsid w:val="558D68E8"/>
    <w:rsid w:val="56DD42FB"/>
    <w:rsid w:val="5C267B9A"/>
    <w:rsid w:val="5C6E4623"/>
    <w:rsid w:val="5D480901"/>
    <w:rsid w:val="5F2B5C40"/>
    <w:rsid w:val="5FF4532C"/>
    <w:rsid w:val="60360E90"/>
    <w:rsid w:val="630E2FA0"/>
    <w:rsid w:val="63985972"/>
    <w:rsid w:val="64EA6690"/>
    <w:rsid w:val="67EF7DEE"/>
    <w:rsid w:val="68ED244F"/>
    <w:rsid w:val="6D663E0B"/>
    <w:rsid w:val="6DA65339"/>
    <w:rsid w:val="6E5318EA"/>
    <w:rsid w:val="6F915E09"/>
    <w:rsid w:val="6F922F7F"/>
    <w:rsid w:val="703F64BC"/>
    <w:rsid w:val="754828ED"/>
    <w:rsid w:val="754941F9"/>
    <w:rsid w:val="75BD7996"/>
    <w:rsid w:val="76AC78FF"/>
    <w:rsid w:val="795F7F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ind w:left="420" w:leftChars="200"/>
    </w:pPr>
  </w:style>
  <w:style w:type="paragraph" w:styleId="4">
    <w:name w:val="envelope return"/>
    <w:basedOn w:val="1"/>
    <w:qFormat/>
    <w:uiPriority w:val="0"/>
    <w:pPr>
      <w:snapToGrid w:val="0"/>
    </w:pPr>
    <w:rPr>
      <w:rFonts w:ascii="Arial" w:hAnsi="Arial" w:cs="Arial"/>
    </w:rPr>
  </w:style>
  <w:style w:type="paragraph" w:styleId="6">
    <w:name w:val="annotation text"/>
    <w:basedOn w:val="1"/>
    <w:link w:val="24"/>
    <w:semiHidden/>
    <w:unhideWhenUsed/>
    <w:qFormat/>
    <w:uiPriority w:val="99"/>
    <w:pPr>
      <w:jc w:val="left"/>
    </w:pPr>
  </w:style>
  <w:style w:type="paragraph" w:styleId="7">
    <w:name w:val="Body Text"/>
    <w:basedOn w:val="1"/>
    <w:next w:val="8"/>
    <w:qFormat/>
    <w:uiPriority w:val="0"/>
    <w:rPr>
      <w:rFonts w:ascii="宋体" w:hAnsi="Arial"/>
      <w:sz w:val="28"/>
    </w:rPr>
  </w:style>
  <w:style w:type="paragraph" w:customStyle="1" w:styleId="8">
    <w:name w:val="Default"/>
    <w:qFormat/>
    <w:uiPriority w:val="0"/>
    <w:pPr>
      <w:widowControl w:val="0"/>
      <w:autoSpaceDE w:val="0"/>
      <w:autoSpaceDN w:val="0"/>
      <w:adjustRightInd w:val="0"/>
    </w:pPr>
    <w:rPr>
      <w:rFonts w:ascii="......." w:hAnsi="Calibri" w:eastAsia="......." w:cs="......."/>
      <w:color w:val="000000"/>
      <w:sz w:val="24"/>
      <w:szCs w:val="24"/>
      <w:lang w:val="en-US" w:eastAsia="zh-CN" w:bidi="ar-SA"/>
    </w:rPr>
  </w:style>
  <w:style w:type="paragraph" w:styleId="9">
    <w:name w:val="Balloon Text"/>
    <w:basedOn w:val="1"/>
    <w:link w:val="26"/>
    <w:semiHidden/>
    <w:unhideWhenUsed/>
    <w:qFormat/>
    <w:uiPriority w:val="99"/>
    <w:rPr>
      <w:sz w:val="18"/>
      <w:szCs w:val="18"/>
    </w:rPr>
  </w:style>
  <w:style w:type="paragraph" w:styleId="10">
    <w:name w:val="footer"/>
    <w:basedOn w:val="1"/>
    <w:link w:val="21"/>
    <w:unhideWhenUsed/>
    <w:qFormat/>
    <w:uiPriority w:val="99"/>
    <w:pPr>
      <w:tabs>
        <w:tab w:val="center" w:pos="4153"/>
        <w:tab w:val="right" w:pos="8306"/>
      </w:tabs>
      <w:snapToGrid w:val="0"/>
      <w:jc w:val="left"/>
    </w:pPr>
    <w:rPr>
      <w:sz w:val="18"/>
      <w:szCs w:val="18"/>
    </w:rPr>
  </w:style>
  <w:style w:type="paragraph" w:styleId="11">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Normal (Web)"/>
    <w:basedOn w:val="1"/>
    <w:unhideWhenUsed/>
    <w:qFormat/>
    <w:uiPriority w:val="0"/>
    <w:pPr>
      <w:spacing w:beforeAutospacing="1" w:afterAutospacing="1"/>
      <w:jc w:val="left"/>
    </w:pPr>
    <w:rPr>
      <w:kern w:val="0"/>
      <w:sz w:val="24"/>
    </w:rPr>
  </w:style>
  <w:style w:type="paragraph" w:styleId="14">
    <w:name w:val="annotation subject"/>
    <w:basedOn w:val="6"/>
    <w:next w:val="6"/>
    <w:link w:val="25"/>
    <w:semiHidden/>
    <w:unhideWhenUsed/>
    <w:qFormat/>
    <w:uiPriority w:val="99"/>
    <w:rPr>
      <w:b/>
      <w:bCs/>
    </w:rPr>
  </w:style>
  <w:style w:type="table" w:styleId="16">
    <w:name w:val="Table Grid"/>
    <w:basedOn w:val="15"/>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qFormat/>
    <w:uiPriority w:val="0"/>
  </w:style>
  <w:style w:type="character" w:styleId="19">
    <w:name w:val="annotation reference"/>
    <w:basedOn w:val="17"/>
    <w:semiHidden/>
    <w:unhideWhenUsed/>
    <w:qFormat/>
    <w:uiPriority w:val="99"/>
    <w:rPr>
      <w:sz w:val="21"/>
      <w:szCs w:val="21"/>
    </w:rPr>
  </w:style>
  <w:style w:type="character" w:customStyle="1" w:styleId="20">
    <w:name w:val="页眉 Char"/>
    <w:basedOn w:val="17"/>
    <w:link w:val="11"/>
    <w:semiHidden/>
    <w:qFormat/>
    <w:uiPriority w:val="99"/>
    <w:rPr>
      <w:sz w:val="18"/>
      <w:szCs w:val="18"/>
    </w:rPr>
  </w:style>
  <w:style w:type="character" w:customStyle="1" w:styleId="21">
    <w:name w:val="页脚 Char"/>
    <w:basedOn w:val="17"/>
    <w:link w:val="10"/>
    <w:semiHidden/>
    <w:qFormat/>
    <w:uiPriority w:val="99"/>
    <w:rPr>
      <w:sz w:val="18"/>
      <w:szCs w:val="18"/>
    </w:rPr>
  </w:style>
  <w:style w:type="paragraph" w:customStyle="1" w:styleId="22">
    <w:name w:val="列出段落1"/>
    <w:basedOn w:val="1"/>
    <w:qFormat/>
    <w:uiPriority w:val="34"/>
    <w:pPr>
      <w:ind w:firstLine="420" w:firstLineChars="200"/>
    </w:pPr>
  </w:style>
  <w:style w:type="paragraph" w:styleId="23">
    <w:name w:val="List Paragraph"/>
    <w:basedOn w:val="1"/>
    <w:unhideWhenUsed/>
    <w:qFormat/>
    <w:uiPriority w:val="99"/>
    <w:pPr>
      <w:ind w:firstLine="420" w:firstLineChars="200"/>
    </w:pPr>
  </w:style>
  <w:style w:type="character" w:customStyle="1" w:styleId="24">
    <w:name w:val="批注文字 Char"/>
    <w:basedOn w:val="17"/>
    <w:link w:val="6"/>
    <w:semiHidden/>
    <w:qFormat/>
    <w:uiPriority w:val="99"/>
    <w:rPr>
      <w:kern w:val="2"/>
      <w:sz w:val="21"/>
      <w:szCs w:val="22"/>
    </w:rPr>
  </w:style>
  <w:style w:type="character" w:customStyle="1" w:styleId="25">
    <w:name w:val="批注主题 Char"/>
    <w:basedOn w:val="24"/>
    <w:link w:val="14"/>
    <w:semiHidden/>
    <w:qFormat/>
    <w:uiPriority w:val="99"/>
    <w:rPr>
      <w:b/>
      <w:bCs/>
    </w:rPr>
  </w:style>
  <w:style w:type="character" w:customStyle="1" w:styleId="26">
    <w:name w:val="批注框文本 Char"/>
    <w:basedOn w:val="17"/>
    <w:link w:val="9"/>
    <w:semiHidden/>
    <w:qFormat/>
    <w:uiPriority w:val="99"/>
    <w:rPr>
      <w:kern w:val="2"/>
      <w:sz w:val="18"/>
      <w:szCs w:val="18"/>
    </w:rPr>
  </w:style>
  <w:style w:type="paragraph" w:customStyle="1" w:styleId="27">
    <w:name w:val="正文11"/>
    <w:basedOn w:val="1"/>
    <w:qFormat/>
    <w:uiPriority w:val="0"/>
    <w:pPr>
      <w:adjustRightInd w:val="0"/>
      <w:spacing w:line="318" w:lineRule="atLeast"/>
      <w:ind w:left="369" w:firstLine="369"/>
      <w:textAlignment w:val="baseline"/>
    </w:pPr>
    <w:rPr>
      <w:rFonts w:ascii="宋体" w:hAnsi="Calibri"/>
      <w:szCs w:val="20"/>
    </w:rPr>
  </w:style>
  <w:style w:type="paragraph" w:customStyle="1" w:styleId="28">
    <w:name w:val="Normal"/>
    <w:qFormat/>
    <w:uiPriority w:val="0"/>
    <w:rPr>
      <w:rFonts w:ascii="Times New Roman" w:hAnsi="Times New Roman" w:eastAsia="Times New Roman" w:cs="Times New Roman"/>
      <w:sz w:val="24"/>
      <w:szCs w:val="24"/>
      <w:lang w:bidi="ar-SA"/>
    </w:rPr>
  </w:style>
  <w:style w:type="table" w:customStyle="1" w:styleId="29">
    <w:name w:val="Plain Table 1"/>
    <w:basedOn w:val="15"/>
    <w:qFormat/>
    <w:uiPriority w:val="41"/>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Pr>
    <w:tblStylePr w:type="firstRow">
      <w:rPr>
        <w:b/>
        <w:bCs/>
      </w:rPr>
    </w:tblStylePr>
    <w:tblStylePr w:type="lastRow">
      <w:rPr>
        <w:b/>
        <w:bCs/>
      </w:rPr>
      <w:tcPr>
        <w:tcBorders>
          <w:top w:val="double" w:color="BEBEBE"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F1F1F1"/>
      </w:tcPr>
    </w:tblStylePr>
    <w:tblStylePr w:type="band1Horz">
      <w:tcPr>
        <w:shd w:val="clear" w:color="auto" w:fill="F1F1F1"/>
      </w:tcPr>
    </w:tblStylePr>
  </w:style>
  <w:style w:type="paragraph" w:customStyle="1" w:styleId="30">
    <w:name w:val="正文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1">
    <w:name w:val="D&amp;L"/>
    <w:basedOn w:val="11"/>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32">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4221</Words>
  <Characters>4362</Characters>
  <Lines>57</Lines>
  <Paragraphs>16</Paragraphs>
  <TotalTime>1</TotalTime>
  <ScaleCrop>false</ScaleCrop>
  <LinksUpToDate>false</LinksUpToDate>
  <CharactersWithSpaces>4442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2023-07-10T04:14:22Z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8722C9F311B44D40B7E9279C1A83C4B1_13</vt:lpwstr>
  </property>
</Properties>
</file>