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rPr>
          <w:rFonts w:ascii="宋体" w:hAnsi="宋体" w:cs="宋体"/>
          <w:kern w:val="0"/>
          <w:sz w:val="36"/>
          <w:szCs w:val="36"/>
          <w:shd w:val="clear" w:color="auto" w:fill="FFFFFF"/>
        </w:rPr>
      </w:pPr>
    </w:p>
    <w:p>
      <w:pPr>
        <w:widowControl/>
        <w:spacing w:line="600" w:lineRule="atLeast"/>
        <w:jc w:val="center"/>
        <w:rPr>
          <w:rFonts w:hint="eastAsia" w:ascii="宋体" w:hAnsi="宋体" w:cs="宋体"/>
          <w:kern w:val="0"/>
          <w:sz w:val="52"/>
          <w:szCs w:val="52"/>
          <w:shd w:val="clear" w:color="auto" w:fill="FFFFFF"/>
        </w:rPr>
      </w:pPr>
      <w:r>
        <w:rPr>
          <w:rFonts w:hint="eastAsia" w:ascii="宋体" w:hAnsi="宋体" w:cs="宋体"/>
          <w:kern w:val="0"/>
          <w:sz w:val="52"/>
          <w:szCs w:val="52"/>
          <w:shd w:val="clear" w:color="auto" w:fill="FFFFFF"/>
        </w:rPr>
        <w:t>蚌埠市第一人民医院体检常用检验病理外送服务采购项目</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2"/>
        <w:ind w:firstLine="560"/>
        <w:rPr>
          <w:sz w:val="28"/>
          <w:szCs w:val="28"/>
        </w:rPr>
      </w:pPr>
    </w:p>
    <w:p>
      <w:pPr>
        <w:pStyle w:val="2"/>
        <w:ind w:left="0" w:leftChars="0" w:firstLine="1680" w:firstLineChars="600"/>
        <w:jc w:val="left"/>
        <w:rPr>
          <w:rFonts w:hint="eastAsia" w:ascii="宋体" w:hAnsi="宋体" w:cs="宋体"/>
          <w:sz w:val="28"/>
          <w:szCs w:val="28"/>
        </w:rPr>
      </w:pPr>
      <w:r>
        <w:rPr>
          <w:rFonts w:hint="eastAsia" w:ascii="宋体" w:hAnsi="宋体" w:cs="宋体"/>
          <w:sz w:val="28"/>
          <w:szCs w:val="28"/>
        </w:rPr>
        <w:t>编制单位：</w:t>
      </w:r>
      <w:r>
        <w:rPr>
          <w:rFonts w:hint="eastAsia" w:ascii="宋体" w:hAnsi="宋体" w:cs="宋体"/>
          <w:sz w:val="28"/>
          <w:szCs w:val="28"/>
          <w:u w:val="single"/>
        </w:rPr>
        <w:t>蚌埠市第一人民医院健康管理中心</w:t>
      </w:r>
    </w:p>
    <w:p>
      <w:pPr>
        <w:pStyle w:val="2"/>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3</w:t>
      </w:r>
      <w:r>
        <w:rPr>
          <w:rFonts w:hint="eastAsia" w:ascii="宋体" w:hAnsi="宋体" w:cs="宋体"/>
          <w:sz w:val="28"/>
          <w:szCs w:val="28"/>
          <w:u w:val="single"/>
        </w:rPr>
        <w:t>年</w:t>
      </w:r>
      <w:r>
        <w:rPr>
          <w:rFonts w:hint="eastAsia" w:ascii="宋体" w:hAnsi="宋体" w:cs="宋体"/>
          <w:sz w:val="28"/>
          <w:szCs w:val="28"/>
          <w:u w:val="single"/>
          <w:lang w:val="en-US" w:eastAsia="zh-CN"/>
        </w:rPr>
        <w:t>8</w:t>
      </w:r>
      <w:r>
        <w:rPr>
          <w:rFonts w:hint="eastAsia" w:ascii="宋体" w:hAnsi="宋体" w:cs="宋体"/>
          <w:sz w:val="28"/>
          <w:szCs w:val="28"/>
          <w:u w:val="single"/>
        </w:rPr>
        <w:t>月</w:t>
      </w:r>
      <w:r>
        <w:rPr>
          <w:rFonts w:hint="eastAsia" w:ascii="宋体" w:hAnsi="宋体" w:cs="宋体"/>
          <w:sz w:val="28"/>
          <w:szCs w:val="28"/>
          <w:u w:val="single"/>
          <w:lang w:val="en-US" w:eastAsia="zh-CN"/>
        </w:rPr>
        <w:t>8</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2"/>
        <w:rPr>
          <w:kern w:val="0"/>
          <w:shd w:val="clear" w:color="auto" w:fill="FFFFFF"/>
        </w:rPr>
      </w:pPr>
    </w:p>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rPr>
          <w:kern w:val="0"/>
          <w:shd w:val="clear" w:color="auto" w:fill="FFFFFF"/>
        </w:rPr>
      </w:pPr>
    </w:p>
    <w:p>
      <w:pPr>
        <w:pStyle w:val="2"/>
        <w:rPr>
          <w:kern w:val="0"/>
          <w:shd w:val="clear" w:color="auto" w:fill="FFFFFF"/>
        </w:rPr>
      </w:pPr>
    </w:p>
    <w:p>
      <w:pPr>
        <w:pStyle w:val="2"/>
        <w:ind w:left="0" w:leftChars="0" w:firstLine="0" w:firstLineChars="0"/>
        <w:rPr>
          <w:kern w:val="0"/>
          <w:shd w:val="clear" w:color="auto" w:fill="FFFFFF"/>
        </w:rPr>
      </w:pPr>
    </w:p>
    <w:p>
      <w:pPr>
        <w:widowControl/>
        <w:numPr>
          <w:ilvl w:val="0"/>
          <w:numId w:val="2"/>
        </w:numPr>
        <w:snapToGrid w:val="0"/>
        <w:spacing w:line="360" w:lineRule="auto"/>
        <w:jc w:val="left"/>
        <w:rPr>
          <w:rFonts w:hint="eastAsia" w:ascii="宋体" w:hAnsi="宋体" w:cs="宋体"/>
          <w:kern w:val="0"/>
          <w:sz w:val="24"/>
          <w:szCs w:val="24"/>
          <w:shd w:val="clear" w:color="auto" w:fill="FFFFFF"/>
        </w:rPr>
      </w:pPr>
      <w:r>
        <w:rPr>
          <w:rFonts w:hint="eastAsia" w:ascii="宋体" w:hAnsi="宋体" w:cs="宋体"/>
          <w:kern w:val="0"/>
          <w:sz w:val="24"/>
          <w:szCs w:val="24"/>
          <w:shd w:val="clear" w:color="auto" w:fill="FFFFFF"/>
        </w:rPr>
        <w:t>项目名称：</w:t>
      </w:r>
      <w:r>
        <w:rPr>
          <w:rFonts w:hint="eastAsia" w:ascii="宋体" w:hAnsi="宋体" w:eastAsia="宋体" w:cs="宋体"/>
          <w:color w:val="auto"/>
          <w:sz w:val="24"/>
          <w:szCs w:val="28"/>
          <w:highlight w:val="none"/>
          <w:lang w:val="en-US" w:eastAsia="zh-CN"/>
        </w:rPr>
        <w:t>蚌埠市第一人民医院体检常用</w:t>
      </w:r>
      <w:r>
        <w:rPr>
          <w:rFonts w:hint="eastAsia" w:ascii="宋体" w:hAnsi="宋体" w:eastAsia="宋体" w:cs="宋体"/>
          <w:color w:val="auto"/>
          <w:sz w:val="24"/>
          <w:szCs w:val="28"/>
          <w:highlight w:val="none"/>
          <w:lang w:val="zh-CN" w:eastAsia="zh-CN"/>
        </w:rPr>
        <w:t>检验病理外送服务采购项目</w:t>
      </w:r>
    </w:p>
    <w:p>
      <w:pPr>
        <w:widowControl/>
        <w:numPr>
          <w:ilvl w:val="0"/>
          <w:numId w:val="0"/>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 xml:space="preserve">2、采购人：蚌埠市第一人民医院健康管理中心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hint="default" w:ascii="宋体" w:hAnsi="宋体" w:cs="宋体" w:eastAsiaTheme="minorEastAsia"/>
          <w:kern w:val="0"/>
          <w:sz w:val="24"/>
          <w:szCs w:val="24"/>
          <w:shd w:val="clear" w:color="auto" w:fill="FFFFFF"/>
          <w:lang w:val="en-US" w:eastAsia="zh-CN"/>
        </w:rPr>
      </w:pPr>
      <w:r>
        <w:rPr>
          <w:rFonts w:hint="eastAsia" w:ascii="宋体" w:hAnsi="宋体" w:cs="宋体"/>
          <w:kern w:val="0"/>
          <w:sz w:val="24"/>
          <w:szCs w:val="24"/>
          <w:shd w:val="clear" w:color="auto" w:fill="FFFFFF"/>
        </w:rPr>
        <w:t>4、项目编号：ZCGF-BBYY-20230</w:t>
      </w:r>
      <w:r>
        <w:rPr>
          <w:rFonts w:hint="eastAsia" w:ascii="宋体" w:hAnsi="宋体" w:cs="宋体"/>
          <w:kern w:val="0"/>
          <w:sz w:val="24"/>
          <w:szCs w:val="24"/>
          <w:shd w:val="clear" w:color="auto" w:fill="FFFFFF"/>
          <w:lang w:val="en-US" w:eastAsia="zh-CN"/>
        </w:rPr>
        <w:t>65</w:t>
      </w:r>
    </w:p>
    <w:p>
      <w:pPr>
        <w:autoSpaceDE w:val="0"/>
        <w:autoSpaceDN w:val="0"/>
        <w:adjustRightInd w:val="0"/>
        <w:spacing w:line="360" w:lineRule="auto"/>
        <w:jc w:val="left"/>
        <w:rPr>
          <w:rFonts w:hint="default" w:ascii="宋体" w:hAnsi="宋体" w:cs="宋体"/>
          <w:kern w:val="0"/>
          <w:sz w:val="24"/>
          <w:szCs w:val="24"/>
          <w:highlight w:val="none"/>
          <w:shd w:val="clear" w:color="auto" w:fill="FFFFFF"/>
          <w:lang w:val="en-US"/>
        </w:rPr>
      </w:pPr>
      <w:r>
        <w:rPr>
          <w:rFonts w:hint="eastAsia" w:ascii="宋体" w:hAnsi="宋体" w:cs="宋体"/>
          <w:kern w:val="0"/>
          <w:sz w:val="24"/>
          <w:szCs w:val="24"/>
          <w:highlight w:val="none"/>
          <w:shd w:val="clear" w:color="auto" w:fill="FFFFFF"/>
        </w:rPr>
        <w:t>5、主要内容：蚌埠市第一人民医院体检常用检验病理外送服务采购项目，本项目分2个包，</w:t>
      </w:r>
      <w:r>
        <w:rPr>
          <w:rFonts w:hint="eastAsia" w:ascii="宋体" w:hAnsi="宋体" w:eastAsia="宋体" w:cs="宋体"/>
          <w:color w:val="auto"/>
          <w:sz w:val="24"/>
          <w:szCs w:val="28"/>
          <w:highlight w:val="none"/>
          <w:lang w:val="en-US" w:eastAsia="zh-CN"/>
        </w:rPr>
        <w:t>01包：医保收费目录外项目，02包：医保收费目录内项目，</w:t>
      </w:r>
      <w:r>
        <w:rPr>
          <w:rFonts w:hint="eastAsia" w:ascii="宋体" w:hAnsi="宋体" w:cs="宋体"/>
          <w:kern w:val="0"/>
          <w:sz w:val="24"/>
          <w:szCs w:val="24"/>
          <w:highlight w:val="none"/>
          <w:shd w:val="clear" w:color="auto" w:fill="FFFFFF"/>
        </w:rPr>
        <w:t>具体详见采购需求。</w:t>
      </w:r>
      <w:r>
        <w:rPr>
          <w:rFonts w:hint="eastAsia" w:ascii="宋体" w:hAnsi="宋体" w:eastAsia="宋体" w:cs="宋体"/>
          <w:color w:val="auto"/>
          <w:sz w:val="24"/>
          <w:szCs w:val="28"/>
          <w:highlight w:val="none"/>
          <w:lang w:eastAsia="zh-CN"/>
        </w:rPr>
        <w:t>最高限价（</w:t>
      </w:r>
      <w:r>
        <w:rPr>
          <w:rFonts w:hint="eastAsia" w:ascii="宋体" w:hAnsi="宋体" w:eastAsia="宋体" w:cs="宋体"/>
          <w:color w:val="auto"/>
          <w:sz w:val="24"/>
          <w:szCs w:val="28"/>
          <w:highlight w:val="none"/>
          <w:lang w:val="en-US" w:eastAsia="zh-CN"/>
        </w:rPr>
        <w:t>费率</w:t>
      </w:r>
      <w:r>
        <w:rPr>
          <w:rFonts w:hint="eastAsia" w:ascii="宋体" w:hAnsi="宋体" w:eastAsia="宋体" w:cs="宋体"/>
          <w:color w:val="auto"/>
          <w:sz w:val="24"/>
          <w:szCs w:val="28"/>
          <w:highlight w:val="none"/>
          <w:lang w:eastAsia="zh-CN"/>
        </w:rPr>
        <w:t>）：</w:t>
      </w:r>
      <w:r>
        <w:rPr>
          <w:rFonts w:hint="eastAsia" w:ascii="宋体" w:hAnsi="宋体" w:eastAsia="宋体" w:cs="宋体"/>
          <w:color w:val="auto"/>
          <w:sz w:val="24"/>
          <w:szCs w:val="28"/>
          <w:highlight w:val="none"/>
          <w:lang w:val="en-US" w:eastAsia="zh-CN"/>
        </w:rPr>
        <w:t>目录内30</w:t>
      </w:r>
      <w:r>
        <w:rPr>
          <w:rFonts w:hint="eastAsia" w:ascii="宋体" w:hAnsi="宋体" w:eastAsia="宋体" w:cs="宋体"/>
          <w:color w:val="auto"/>
          <w:sz w:val="24"/>
          <w:szCs w:val="28"/>
          <w:highlight w:val="none"/>
          <w:lang w:eastAsia="zh-CN"/>
        </w:rPr>
        <w:t>%，</w:t>
      </w:r>
      <w:r>
        <w:rPr>
          <w:rFonts w:hint="eastAsia" w:ascii="宋体" w:hAnsi="宋体" w:eastAsia="宋体" w:cs="宋体"/>
          <w:color w:val="auto"/>
          <w:sz w:val="24"/>
          <w:szCs w:val="28"/>
          <w:highlight w:val="none"/>
          <w:lang w:val="en-US" w:eastAsia="zh-CN"/>
        </w:rPr>
        <w:t>目录外40%</w:t>
      </w:r>
      <w:r>
        <w:rPr>
          <w:rFonts w:hint="eastAsia" w:ascii="宋体" w:hAnsi="宋体" w:cs="宋体"/>
          <w:color w:val="auto"/>
          <w:kern w:val="0"/>
          <w:sz w:val="24"/>
          <w:szCs w:val="24"/>
          <w:shd w:val="clear" w:color="auto" w:fill="FFFFFF"/>
          <w:lang w:val="en-US" w:eastAsia="zh-CN"/>
        </w:rPr>
        <w:t>。</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6、项目年度预算：45万元/年（本项目公布的采购预算为预估量，最终结算以采购人实际情况为准，但服务期内总结算价不得超出本项目采购预算。医保收费目录外项目预算20万元/年，医保收费目录内项目预算25万元/年）</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7、合同履行期限：合同签订之日起一年。本项目服务期满后，如中标人履约良好，在项目年度预算得到保障的前提下，采购人和中标人均愿意续签，可续签下一年度合同，合同一年一签，合同金额不变，最多续签二次。</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8、拟采用的评审方法：综合评分法；</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9、付款方式： 招标人按上述病理、检验项目业务收入（价格）标准×中标费率与中标人进行结算，回款期3个月（第四个月付第一个月的钱），如遇政策性收费价格调整，则由中标人承担因价格调整所带来的影响。</w:t>
      </w:r>
    </w:p>
    <w:p>
      <w:pPr>
        <w:pStyle w:val="2"/>
        <w:spacing w:line="360" w:lineRule="auto"/>
        <w:ind w:left="0" w:leftChars="0" w:firstLine="0" w:firstLineChars="0"/>
        <w:rPr>
          <w:rFonts w:hint="default"/>
          <w:lang w:val="en-US" w:eastAsia="zh-CN"/>
        </w:rPr>
      </w:pPr>
      <w:r>
        <w:rPr>
          <w:rFonts w:hint="eastAsia" w:ascii="宋体" w:hAnsi="宋体" w:cs="宋体"/>
          <w:color w:val="auto"/>
          <w:kern w:val="0"/>
          <w:sz w:val="24"/>
          <w:szCs w:val="24"/>
          <w:shd w:val="clear" w:color="auto" w:fill="FFFFFF"/>
          <w:lang w:val="en-US" w:eastAsia="zh-CN"/>
        </w:rPr>
        <w:t xml:space="preserve">10、新增收费项目价格依据：双方约定:合同期内，医保目录内项目如有增加必须执行安徽省蚌埠市医疗服务物价收费标准；目录外项目如有增加，中标单位须提供三家安徽省三级医院收费佐证材料，经院方核实后确定价格。 </w:t>
      </w:r>
    </w:p>
    <w:p>
      <w:pPr>
        <w:pStyle w:val="14"/>
        <w:widowControl/>
        <w:shd w:val="clear" w:color="auto" w:fill="FFFFFF"/>
        <w:spacing w:beforeAutospacing="0" w:afterAutospacing="0" w:line="360" w:lineRule="auto"/>
        <w:rPr>
          <w:rFonts w:hint="eastAsia" w:ascii="宋体" w:hAnsi="宋体" w:cs="宋体"/>
          <w:szCs w:val="24"/>
          <w:highlight w:val="none"/>
          <w:shd w:val="clear" w:color="auto" w:fill="FFFFFF"/>
        </w:rPr>
      </w:pPr>
      <w:r>
        <w:rPr>
          <w:rFonts w:hint="eastAsia" w:ascii="宋体" w:hAnsi="宋体" w:cs="宋体"/>
          <w:szCs w:val="24"/>
          <w:highlight w:val="none"/>
          <w:shd w:val="clear" w:color="auto" w:fill="FFFFFF"/>
          <w:lang w:val="en-US" w:eastAsia="zh-CN"/>
        </w:rPr>
        <w:t>11</w:t>
      </w:r>
      <w:r>
        <w:rPr>
          <w:rFonts w:hint="eastAsia" w:ascii="宋体" w:hAnsi="宋体" w:cs="宋体"/>
          <w:szCs w:val="24"/>
          <w:highlight w:val="none"/>
          <w:shd w:val="clear" w:color="auto" w:fill="FFFFFF"/>
        </w:rPr>
        <w:t>、申请人的资格要求：</w:t>
      </w:r>
    </w:p>
    <w:p>
      <w:pPr>
        <w:pStyle w:val="29"/>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1.满足《中华人民共和国政府采购法》第二十二条规定；</w:t>
      </w:r>
    </w:p>
    <w:p>
      <w:pPr>
        <w:pStyle w:val="29"/>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2.落实政府采购政策需满足的资格要求：</w:t>
      </w:r>
      <w:r>
        <w:rPr>
          <w:rFonts w:hint="eastAsia" w:ascii="宋体" w:hAnsi="宋体" w:eastAsia="宋体" w:cs="宋体"/>
          <w:u w:val="single"/>
          <w:lang w:val="zh-CN" w:eastAsia="zh-CN"/>
        </w:rPr>
        <w:t>无</w:t>
      </w:r>
    </w:p>
    <w:p>
      <w:pPr>
        <w:pStyle w:val="29"/>
        <w:spacing w:line="360" w:lineRule="auto"/>
        <w:jc w:val="both"/>
        <w:rPr>
          <w:rFonts w:hint="eastAsia" w:ascii="宋体" w:hAnsi="宋体" w:eastAsia="宋体" w:cs="宋体"/>
          <w:color w:val="0000FF"/>
          <w:lang w:val="zh-CN" w:eastAsia="zh-CN"/>
        </w:rPr>
      </w:pPr>
      <w:r>
        <w:rPr>
          <w:rFonts w:hint="eastAsia" w:ascii="宋体" w:hAnsi="宋体" w:eastAsia="宋体" w:cs="宋体"/>
          <w:color w:val="0000FF"/>
          <w:lang w:val="zh-CN" w:eastAsia="zh-CN"/>
        </w:rPr>
        <w:t>3.本项目的特定资格要求：</w:t>
      </w:r>
    </w:p>
    <w:p>
      <w:pPr>
        <w:pStyle w:val="29"/>
        <w:spacing w:line="360" w:lineRule="auto"/>
        <w:jc w:val="both"/>
        <w:rPr>
          <w:rFonts w:hint="eastAsia" w:ascii="宋体" w:hAnsi="宋体" w:eastAsia="宋体" w:cs="宋体"/>
          <w:color w:val="0000FF"/>
          <w:lang w:val="zh-CN" w:eastAsia="zh-CN"/>
        </w:rPr>
      </w:pPr>
      <w:r>
        <w:rPr>
          <w:rFonts w:hint="eastAsia" w:ascii="宋体" w:hAnsi="宋体" w:eastAsia="宋体" w:cs="宋体"/>
          <w:color w:val="0000FF"/>
          <w:lang w:val="zh-CN" w:eastAsia="zh-CN"/>
        </w:rPr>
        <w:t xml:space="preserve">3.1 投标人须具有独立承担民事责任能力的法人，具有有效的营业执照、税务登记证和组织机构代码证（或三证合一的营业执照）； </w:t>
      </w:r>
    </w:p>
    <w:p>
      <w:pPr>
        <w:pStyle w:val="29"/>
        <w:spacing w:line="360" w:lineRule="auto"/>
        <w:jc w:val="both"/>
        <w:rPr>
          <w:rFonts w:hint="eastAsia" w:ascii="宋体" w:hAnsi="宋体" w:eastAsia="宋体" w:cs="宋体"/>
          <w:color w:val="0000FF"/>
          <w:lang w:val="zh-CN" w:eastAsia="zh-CN"/>
        </w:rPr>
      </w:pPr>
      <w:r>
        <w:rPr>
          <w:rFonts w:hint="eastAsia" w:ascii="宋体" w:hAnsi="宋体" w:eastAsia="宋体" w:cs="宋体"/>
          <w:color w:val="0000FF"/>
          <w:lang w:val="zh-CN" w:eastAsia="zh-CN"/>
        </w:rPr>
        <w:t>3.2 投标人须具有医疗机构执业许可证；</w:t>
      </w:r>
    </w:p>
    <w:p>
      <w:pPr>
        <w:rPr>
          <w:rFonts w:hint="eastAsia"/>
          <w:sz w:val="44"/>
          <w:szCs w:val="44"/>
          <w:lang w:val="en-US" w:eastAsia="zh-CN"/>
        </w:rPr>
      </w:pPr>
      <w:r>
        <w:rPr>
          <w:rFonts w:hint="eastAsia"/>
          <w:sz w:val="44"/>
          <w:szCs w:val="44"/>
          <w:lang w:val="en-US" w:eastAsia="zh-CN"/>
        </w:rPr>
        <w:br w:type="page"/>
      </w:r>
    </w:p>
    <w:p>
      <w:pPr>
        <w:widowControl/>
        <w:numPr>
          <w:ilvl w:val="0"/>
          <w:numId w:val="0"/>
        </w:numPr>
        <w:snapToGrid w:val="0"/>
        <w:spacing w:line="360" w:lineRule="auto"/>
        <w:ind w:firstLine="482" w:firstLineChars="200"/>
        <w:jc w:val="left"/>
        <w:rPr>
          <w:rFonts w:hint="default" w:asciiTheme="minorHAnsi" w:hAnsiTheme="minorHAnsi" w:eastAsiaTheme="minorEastAsia" w:cstheme="minorBidi"/>
          <w:b/>
          <w:color w:val="auto"/>
          <w:kern w:val="0"/>
          <w:sz w:val="24"/>
          <w:szCs w:val="22"/>
          <w:highlight w:val="none"/>
          <w:lang w:val="en-US" w:eastAsia="zh-CN" w:bidi="ar-SA"/>
        </w:rPr>
      </w:pPr>
      <w:r>
        <w:rPr>
          <w:rFonts w:hint="eastAsia" w:asciiTheme="minorHAnsi" w:hAnsiTheme="minorHAnsi" w:eastAsiaTheme="minorEastAsia" w:cstheme="minorBidi"/>
          <w:b/>
          <w:color w:val="auto"/>
          <w:kern w:val="0"/>
          <w:sz w:val="24"/>
          <w:szCs w:val="22"/>
          <w:highlight w:val="none"/>
          <w:lang w:val="en-US" w:eastAsia="zh-CN" w:bidi="ar-SA"/>
        </w:rPr>
        <w:t>蚌埠市第一人民医院体检常用</w:t>
      </w:r>
      <w:r>
        <w:rPr>
          <w:rFonts w:hint="eastAsia" w:asciiTheme="minorHAnsi" w:hAnsiTheme="minorHAnsi" w:eastAsiaTheme="minorEastAsia" w:cstheme="minorBidi"/>
          <w:b/>
          <w:color w:val="auto"/>
          <w:kern w:val="0"/>
          <w:sz w:val="24"/>
          <w:szCs w:val="22"/>
          <w:highlight w:val="none"/>
          <w:lang w:val="zh-CN" w:eastAsia="zh-CN" w:bidi="ar-SA"/>
        </w:rPr>
        <w:t>检验病理外送服务采购项目</w:t>
      </w:r>
      <w:r>
        <w:rPr>
          <w:rFonts w:hint="eastAsia" w:asciiTheme="minorHAnsi" w:hAnsiTheme="minorHAnsi" w:eastAsiaTheme="minorEastAsia" w:cstheme="minorBidi"/>
          <w:b/>
          <w:color w:val="auto"/>
          <w:kern w:val="0"/>
          <w:sz w:val="24"/>
          <w:szCs w:val="22"/>
          <w:highlight w:val="none"/>
          <w:lang w:val="en-US" w:eastAsia="zh-CN" w:bidi="ar-SA"/>
        </w:rPr>
        <w:t>采购需求</w:t>
      </w:r>
    </w:p>
    <w:p>
      <w:pPr>
        <w:pStyle w:val="14"/>
        <w:spacing w:before="0" w:beforeAutospacing="0" w:after="0" w:afterAutospacing="0" w:line="400" w:lineRule="exact"/>
        <w:rPr>
          <w:b/>
          <w:color w:val="auto"/>
          <w:highlight w:val="none"/>
        </w:rPr>
      </w:pPr>
      <w:r>
        <w:rPr>
          <w:rFonts w:hint="eastAsia"/>
          <w:b/>
          <w:bCs w:val="0"/>
          <w:color w:val="auto"/>
          <w:highlight w:val="none"/>
          <w:lang w:val="en-US" w:eastAsia="zh-CN"/>
        </w:rPr>
        <w:t>一</w:t>
      </w:r>
      <w:r>
        <w:rPr>
          <w:rFonts w:hint="eastAsia"/>
          <w:b/>
          <w:color w:val="auto"/>
          <w:highlight w:val="none"/>
        </w:rPr>
        <w:t>、合作内容</w:t>
      </w:r>
    </w:p>
    <w:p>
      <w:pPr>
        <w:widowControl/>
        <w:shd w:val="clear" w:color="auto" w:fill="FFFFFF"/>
        <w:spacing w:line="495" w:lineRule="atLeast"/>
        <w:ind w:firstLine="480" w:firstLineChars="200"/>
        <w:jc w:val="left"/>
        <w:rPr>
          <w:rFonts w:hint="default" w:ascii="Times New Roman" w:hAnsi="Times New Roman" w:eastAsia="宋体" w:cs="Times New Roman"/>
          <w:color w:val="auto"/>
          <w:kern w:val="0"/>
          <w:sz w:val="24"/>
          <w:highlight w:val="none"/>
          <w:lang w:val="en-US" w:eastAsia="zh-CN"/>
        </w:rPr>
      </w:pPr>
      <w:r>
        <w:rPr>
          <w:rFonts w:hint="eastAsia" w:ascii="Times New Roman" w:hAnsi="Times New Roman" w:eastAsia="宋体" w:cs="Times New Roman"/>
          <w:color w:val="auto"/>
          <w:kern w:val="0"/>
          <w:sz w:val="24"/>
          <w:highlight w:val="none"/>
        </w:rPr>
        <w:t>投标人须</w:t>
      </w:r>
      <w:r>
        <w:rPr>
          <w:rFonts w:hint="eastAsia" w:ascii="宋体" w:hAnsi="宋体" w:eastAsia="宋体" w:cs="宋体"/>
          <w:color w:val="auto"/>
          <w:sz w:val="24"/>
          <w:szCs w:val="28"/>
          <w:highlight w:val="none"/>
          <w:lang w:eastAsia="zh-CN"/>
        </w:rPr>
        <w:t>蚌埠市第一人民医院健康管理中心</w:t>
      </w:r>
      <w:r>
        <w:rPr>
          <w:rFonts w:hint="eastAsia" w:ascii="Times New Roman" w:hAnsi="Times New Roman" w:eastAsia="宋体" w:cs="Times New Roman"/>
          <w:color w:val="auto"/>
          <w:kern w:val="0"/>
          <w:sz w:val="24"/>
          <w:highlight w:val="none"/>
        </w:rPr>
        <w:t>所列示的病理、检验部分项纳入投标服务范围。</w:t>
      </w:r>
      <w:r>
        <w:rPr>
          <w:rFonts w:hint="eastAsia" w:ascii="Times New Roman" w:hAnsi="Times New Roman" w:eastAsia="宋体" w:cs="Times New Roman"/>
          <w:color w:val="auto"/>
          <w:kern w:val="0"/>
          <w:sz w:val="24"/>
          <w:highlight w:val="none"/>
          <w:lang w:val="en-US" w:eastAsia="zh-CN"/>
        </w:rPr>
        <w:t xml:space="preserve">  </w:t>
      </w:r>
    </w:p>
    <w:p>
      <w:pPr>
        <w:pStyle w:val="14"/>
        <w:spacing w:before="0" w:beforeAutospacing="0" w:after="0" w:afterAutospacing="0" w:line="400" w:lineRule="exact"/>
        <w:rPr>
          <w:b/>
          <w:color w:val="auto"/>
          <w:highlight w:val="none"/>
        </w:rPr>
      </w:pPr>
      <w:r>
        <w:rPr>
          <w:rFonts w:hint="eastAsia"/>
          <w:b/>
          <w:color w:val="auto"/>
          <w:highlight w:val="none"/>
          <w:lang w:val="en-US" w:eastAsia="zh-CN"/>
        </w:rPr>
        <w:t>二</w:t>
      </w:r>
      <w:r>
        <w:rPr>
          <w:rFonts w:hint="eastAsia"/>
          <w:b/>
          <w:color w:val="auto"/>
          <w:highlight w:val="none"/>
        </w:rPr>
        <w:t>、项目收费清单</w:t>
      </w:r>
    </w:p>
    <w:p>
      <w:pPr>
        <w:pStyle w:val="14"/>
        <w:spacing w:before="0" w:beforeAutospacing="0" w:after="0" w:afterAutospacing="0" w:line="400" w:lineRule="exact"/>
        <w:ind w:firstLine="480" w:firstLineChars="200"/>
        <w:rPr>
          <w:rFonts w:hint="eastAsia"/>
          <w:color w:val="auto"/>
          <w:highlight w:val="none"/>
          <w:lang w:eastAsia="zh-CN"/>
        </w:rPr>
      </w:pPr>
      <w:r>
        <w:rPr>
          <w:rFonts w:hint="eastAsia"/>
          <w:color w:val="auto"/>
          <w:highlight w:val="none"/>
        </w:rPr>
        <w:t>投标人</w:t>
      </w:r>
      <w:r>
        <w:rPr>
          <w:rFonts w:hint="eastAsia"/>
          <w:b/>
          <w:bCs/>
          <w:color w:val="0000FF"/>
          <w:highlight w:val="none"/>
        </w:rPr>
        <w:t>必须开展并不限于</w:t>
      </w:r>
      <w:r>
        <w:rPr>
          <w:rFonts w:hint="eastAsia"/>
          <w:color w:val="auto"/>
          <w:highlight w:val="none"/>
        </w:rPr>
        <w:t>第五项服务要求所列的</w:t>
      </w:r>
      <w:r>
        <w:rPr>
          <w:rFonts w:hint="eastAsia"/>
          <w:color w:val="auto"/>
          <w:highlight w:val="none"/>
          <w:lang w:val="en-US" w:eastAsia="zh-CN"/>
        </w:rPr>
        <w:t>部分或全部</w:t>
      </w:r>
      <w:r>
        <w:rPr>
          <w:rFonts w:hint="eastAsia"/>
          <w:color w:val="FF0000"/>
          <w:highlight w:val="none"/>
        </w:rPr>
        <w:t>病理</w:t>
      </w:r>
      <w:r>
        <w:rPr>
          <w:rFonts w:hint="eastAsia"/>
          <w:color w:val="auto"/>
          <w:highlight w:val="none"/>
        </w:rPr>
        <w:t>检验服务项目</w:t>
      </w:r>
      <w:r>
        <w:rPr>
          <w:rFonts w:hint="eastAsia"/>
          <w:color w:val="auto"/>
          <w:highlight w:val="none"/>
          <w:lang w:eastAsia="zh-CN"/>
        </w:rPr>
        <w:t>。</w:t>
      </w:r>
    </w:p>
    <w:p>
      <w:pPr>
        <w:pStyle w:val="14"/>
        <w:numPr>
          <w:ilvl w:val="0"/>
          <w:numId w:val="0"/>
        </w:numPr>
        <w:spacing w:before="0" w:beforeAutospacing="0" w:after="0" w:afterAutospacing="0" w:line="400" w:lineRule="exact"/>
        <w:ind w:left="120" w:leftChars="0"/>
        <w:rPr>
          <w:rFonts w:hint="eastAsia"/>
          <w:color w:val="auto"/>
          <w:highlight w:val="none"/>
        </w:rPr>
      </w:pPr>
      <w:r>
        <w:rPr>
          <w:rFonts w:hint="eastAsia" w:ascii="宋体" w:hAnsi="宋体" w:eastAsia="宋体" w:cs="Times New Roman"/>
          <w:color w:val="auto"/>
          <w:highlight w:val="none"/>
          <w:lang w:val="en-US" w:eastAsia="zh-CN"/>
        </w:rPr>
        <w:t>01包：医保收费</w:t>
      </w:r>
      <w:r>
        <w:rPr>
          <w:rFonts w:hint="eastAsia"/>
          <w:color w:val="auto"/>
          <w:highlight w:val="none"/>
          <w:lang w:val="en-US" w:eastAsia="zh-CN"/>
        </w:rPr>
        <w:t>目录外体检</w:t>
      </w:r>
      <w:r>
        <w:rPr>
          <w:rFonts w:hint="eastAsia"/>
          <w:color w:val="auto"/>
          <w:highlight w:val="none"/>
        </w:rPr>
        <w:t>项目</w:t>
      </w:r>
    </w:p>
    <w:tbl>
      <w:tblPr>
        <w:tblStyle w:val="16"/>
        <w:tblW w:w="1000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73"/>
        <w:gridCol w:w="3174"/>
        <w:gridCol w:w="4070"/>
        <w:gridCol w:w="940"/>
        <w:gridCol w:w="1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004" w:type="dxa"/>
            <w:gridSpan w:val="5"/>
            <w:tcBorders>
              <w:top w:val="nil"/>
              <w:left w:val="nil"/>
              <w:bottom w:val="nil"/>
              <w:right w:val="nil"/>
            </w:tcBorders>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44"/>
                <w:szCs w:val="4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检查意义</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价格</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多靶点粪便FIT-DNA检测</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组织/细胞荧光定量脱氧核糖核酸（DNA）多聚酶链式反应检查诊断</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1940</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eastAsia="zh-CN"/>
              </w:rPr>
              <w:t>提供试剂盒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3"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幽门螺杆菌粪便抗原检测</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幽门螺杆菌快速检测法</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eastAsia="zh-CN"/>
              </w:rPr>
              <w:t>提供试剂盒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便隐血检测</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FIT定量检测</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eastAsia="zh-CN"/>
              </w:rPr>
              <w:t>提供试剂盒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尿素碳13呼气试验诊断</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幽门螺杆菌快速检测法</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t>提供试剂盒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人附睾蛋白4（HE4）</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经美国FDA批准用于卵巢癌早期诊断的新型标志物，可与CA125联合检测提高卵巢癌筛查的敏感性和特异性，并可用于盆腔包块患者的风险评估。 </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6</w:t>
            </w:r>
          </w:p>
        </w:tc>
        <w:tc>
          <w:tcPr>
            <w:tcW w:w="3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胃泌素释放肽前体（Pro GRP)测定</w:t>
            </w:r>
          </w:p>
        </w:tc>
        <w:tc>
          <w:tcPr>
            <w:tcW w:w="40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辅助小细胞肺癌鉴别、诊断和治疗监测</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人纤维蛋白原降解产物(DR-70)</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1.健康人群体检筛查。</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2.长期慢病人群（糖尿病、肝病、胃溃疡、肠息肉、肥胖症等）。</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3.肿瘤家族史高风险人群。</w:t>
            </w:r>
          </w:p>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肿瘤手术患者动态监测，辅助判断疾病进程和治疗效果。</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半胱氨酸蛋白酶抑制剂CST4</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胃肠肿瘤的早期筛查</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231F20"/>
                <w:kern w:val="2"/>
                <w:sz w:val="22"/>
                <w:szCs w:val="22"/>
                <w:u w:val="none"/>
                <w:lang w:val="en-US" w:eastAsia="zh-CN" w:bidi="ar-SA"/>
              </w:rPr>
            </w:pPr>
            <w:r>
              <w:rPr>
                <w:rFonts w:hint="eastAsia" w:ascii="宋体" w:hAnsi="宋体" w:eastAsia="宋体" w:cs="宋体"/>
                <w:i w:val="0"/>
                <w:iCs w:val="0"/>
                <w:color w:val="231F20"/>
                <w:kern w:val="0"/>
                <w:sz w:val="22"/>
                <w:szCs w:val="22"/>
                <w:u w:val="none"/>
                <w:lang w:val="en-US" w:eastAsia="zh-CN" w:bidi="ar"/>
              </w:rPr>
              <w:t>儿童安全用药基因检测</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对于儿童常用药物的基因检测</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580</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231F20"/>
                <w:kern w:val="2"/>
                <w:sz w:val="22"/>
                <w:szCs w:val="22"/>
                <w:u w:val="none"/>
                <w:lang w:val="en-US" w:eastAsia="zh-CN" w:bidi="ar-SA"/>
              </w:rPr>
            </w:pPr>
            <w:r>
              <w:rPr>
                <w:rFonts w:hint="eastAsia" w:ascii="宋体" w:hAnsi="宋体" w:eastAsia="宋体" w:cs="宋体"/>
                <w:i w:val="0"/>
                <w:iCs w:val="0"/>
                <w:color w:val="231F20"/>
                <w:kern w:val="0"/>
                <w:sz w:val="22"/>
                <w:szCs w:val="22"/>
                <w:u w:val="none"/>
                <w:lang w:val="en-US" w:eastAsia="zh-CN" w:bidi="ar"/>
              </w:rPr>
              <w:t>维生素12项</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全面筛查体内维生素</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554</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231F20"/>
                <w:kern w:val="2"/>
                <w:sz w:val="22"/>
                <w:szCs w:val="22"/>
                <w:u w:val="none"/>
                <w:lang w:val="en-US" w:eastAsia="zh-CN" w:bidi="ar-SA"/>
              </w:rPr>
            </w:pPr>
            <w:r>
              <w:rPr>
                <w:rFonts w:hint="eastAsia" w:ascii="宋体" w:hAnsi="宋体" w:eastAsia="宋体" w:cs="宋体"/>
                <w:i w:val="0"/>
                <w:iCs w:val="0"/>
                <w:color w:val="231F20"/>
                <w:kern w:val="0"/>
                <w:sz w:val="22"/>
                <w:szCs w:val="22"/>
                <w:u w:val="none"/>
                <w:lang w:val="en-US" w:eastAsia="zh-CN" w:bidi="ar"/>
              </w:rPr>
              <w:t>胸苷激酶1(TK1)</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提供诊断、预后和靶向治疗等相关信息</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175</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高尔基蛋白73（GP73)</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原发肝癌的辅助诊断、疗效监测</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120</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异常凝血酶原（PIVKA-II)</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原发肝癌的辅助诊断、疗效监测</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231F20"/>
                <w:kern w:val="2"/>
                <w:sz w:val="22"/>
                <w:szCs w:val="22"/>
                <w:u w:val="none"/>
                <w:lang w:val="en-US" w:eastAsia="zh-CN" w:bidi="ar-SA"/>
              </w:rPr>
            </w:pPr>
            <w:r>
              <w:rPr>
                <w:rFonts w:hint="eastAsia" w:ascii="宋体" w:hAnsi="宋体" w:eastAsia="宋体" w:cs="宋体"/>
                <w:i w:val="0"/>
                <w:iCs w:val="0"/>
                <w:color w:val="231F20"/>
                <w:kern w:val="0"/>
                <w:sz w:val="22"/>
                <w:szCs w:val="22"/>
                <w:u w:val="none"/>
                <w:lang w:val="en-US" w:eastAsia="zh-CN" w:bidi="ar"/>
              </w:rPr>
              <w:t>肠癌血液多基因甲基化检测</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无创采血、结直肠癌的诊断及疗效监测</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960</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无创肠癌基因检测</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粪便、结直肠癌的诊断及疗效监测</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231F20"/>
                <w:kern w:val="2"/>
                <w:sz w:val="22"/>
                <w:szCs w:val="22"/>
                <w:u w:val="none"/>
                <w:lang w:val="en-US" w:eastAsia="zh-CN" w:bidi="ar-SA"/>
              </w:rPr>
            </w:pPr>
            <w:r>
              <w:rPr>
                <w:rFonts w:hint="eastAsia" w:ascii="宋体" w:hAnsi="宋体" w:eastAsia="宋体" w:cs="宋体"/>
                <w:i w:val="0"/>
                <w:iCs w:val="0"/>
                <w:color w:val="231F20"/>
                <w:kern w:val="0"/>
                <w:sz w:val="22"/>
                <w:szCs w:val="22"/>
                <w:u w:val="none"/>
                <w:lang w:val="en-US" w:eastAsia="zh-CN" w:bidi="ar"/>
              </w:rPr>
              <w:t>肠癌基因甲基化检测（Septin9）</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无创采血、结直肠癌的诊断及疗效监测</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231F20"/>
                <w:kern w:val="2"/>
                <w:sz w:val="22"/>
                <w:szCs w:val="22"/>
                <w:u w:val="none"/>
                <w:lang w:val="en-US" w:eastAsia="zh-CN" w:bidi="ar-SA"/>
              </w:rPr>
            </w:pPr>
            <w:r>
              <w:rPr>
                <w:rFonts w:hint="eastAsia" w:ascii="宋体" w:hAnsi="宋体" w:eastAsia="宋体" w:cs="宋体"/>
                <w:i w:val="0"/>
                <w:iCs w:val="0"/>
                <w:color w:val="231F20"/>
                <w:kern w:val="0"/>
                <w:sz w:val="22"/>
                <w:szCs w:val="22"/>
                <w:u w:val="none"/>
                <w:lang w:val="en-US" w:eastAsia="zh-CN" w:bidi="ar"/>
              </w:rPr>
              <w:t>肺癌基因甲基化检测</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用于肺癌的风险监测</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231F20"/>
                <w:kern w:val="2"/>
                <w:sz w:val="22"/>
                <w:szCs w:val="22"/>
                <w:u w:val="none"/>
                <w:lang w:val="en-US" w:eastAsia="zh-CN" w:bidi="ar-SA"/>
              </w:rPr>
            </w:pPr>
            <w:r>
              <w:rPr>
                <w:rFonts w:hint="eastAsia" w:ascii="宋体" w:hAnsi="宋体" w:eastAsia="宋体" w:cs="宋体"/>
                <w:i w:val="0"/>
                <w:iCs w:val="0"/>
                <w:color w:val="231F20"/>
                <w:kern w:val="0"/>
                <w:sz w:val="22"/>
                <w:szCs w:val="22"/>
                <w:u w:val="none"/>
                <w:lang w:val="en-US" w:eastAsia="zh-CN" w:bidi="ar"/>
              </w:rPr>
              <w:t>胃癌基因甲基化检测</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用于胃癌的风险监测</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231F20"/>
                <w:kern w:val="2"/>
                <w:sz w:val="22"/>
                <w:szCs w:val="22"/>
                <w:u w:val="none"/>
                <w:lang w:val="en-US" w:eastAsia="zh-CN" w:bidi="ar-SA"/>
              </w:rPr>
            </w:pPr>
            <w:r>
              <w:rPr>
                <w:rFonts w:hint="eastAsia" w:ascii="宋体" w:hAnsi="宋体" w:eastAsia="宋体" w:cs="宋体"/>
                <w:i w:val="0"/>
                <w:iCs w:val="0"/>
                <w:color w:val="231F20"/>
                <w:kern w:val="0"/>
                <w:sz w:val="22"/>
                <w:szCs w:val="22"/>
                <w:u w:val="none"/>
                <w:lang w:val="en-US" w:eastAsia="zh-CN" w:bidi="ar"/>
              </w:rPr>
              <w:t>乳腺癌基因甲基化检测</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用于乳腺癌的风险监测</w:t>
            </w:r>
            <w:bookmarkStart w:id="0" w:name="_GoBack"/>
            <w:bookmarkEnd w:id="0"/>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231F20"/>
                <w:kern w:val="2"/>
                <w:sz w:val="22"/>
                <w:szCs w:val="22"/>
                <w:u w:val="none"/>
                <w:lang w:val="en-US" w:eastAsia="zh-CN" w:bidi="ar-SA"/>
              </w:rPr>
            </w:pPr>
            <w:r>
              <w:rPr>
                <w:rFonts w:hint="eastAsia" w:ascii="宋体" w:hAnsi="宋体" w:eastAsia="宋体" w:cs="宋体"/>
                <w:i w:val="0"/>
                <w:iCs w:val="0"/>
                <w:color w:val="231F20"/>
                <w:kern w:val="0"/>
                <w:sz w:val="22"/>
                <w:szCs w:val="22"/>
                <w:u w:val="none"/>
                <w:lang w:val="en-US" w:eastAsia="zh-CN" w:bidi="ar"/>
              </w:rPr>
              <w:t>前列腺癌基因甲基化检测</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用于前列腺癌的风险监测</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w:t>
            </w:r>
          </w:p>
        </w:tc>
        <w:tc>
          <w:tcPr>
            <w:tcW w:w="31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231F20"/>
                <w:kern w:val="0"/>
                <w:sz w:val="22"/>
                <w:szCs w:val="22"/>
                <w:u w:val="none"/>
                <w:lang w:val="en-US" w:eastAsia="zh-CN" w:bidi="ar"/>
              </w:rPr>
            </w:pPr>
            <w:r>
              <w:rPr>
                <w:rFonts w:hint="eastAsia" w:ascii="宋体" w:hAnsi="宋体" w:eastAsia="宋体" w:cs="宋体"/>
                <w:i w:val="0"/>
                <w:iCs w:val="0"/>
                <w:color w:val="231F20"/>
                <w:kern w:val="0"/>
                <w:sz w:val="22"/>
                <w:szCs w:val="22"/>
                <w:u w:val="none"/>
                <w:lang w:val="en-US" w:eastAsia="zh-CN" w:bidi="ar"/>
              </w:rPr>
              <w:t>耐药性基因检测</w:t>
            </w:r>
          </w:p>
        </w:tc>
        <w:tc>
          <w:tcPr>
            <w:tcW w:w="40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对于常用药物的耐药性基因检测</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600</w:t>
            </w:r>
          </w:p>
        </w:tc>
        <w:tc>
          <w:tcPr>
            <w:tcW w:w="1147"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000000"/>
                <w:kern w:val="2"/>
                <w:sz w:val="22"/>
                <w:szCs w:val="22"/>
                <w:u w:val="none"/>
                <w:lang w:val="en-US" w:eastAsia="zh-CN" w:bidi="ar-SA"/>
              </w:rPr>
            </w:pPr>
          </w:p>
        </w:tc>
      </w:tr>
    </w:tbl>
    <w:p>
      <w:pPr>
        <w:pStyle w:val="14"/>
        <w:spacing w:before="0" w:beforeAutospacing="0" w:after="0" w:afterAutospacing="0" w:line="400" w:lineRule="exact"/>
        <w:rPr>
          <w:rFonts w:hint="eastAsia"/>
          <w:color w:val="auto"/>
          <w:highlight w:val="none"/>
          <w:lang w:val="en-US" w:eastAsia="zh-CN"/>
        </w:rPr>
      </w:pPr>
    </w:p>
    <w:p>
      <w:pPr>
        <w:pStyle w:val="14"/>
        <w:spacing w:before="0" w:beforeAutospacing="0" w:after="0" w:afterAutospacing="0" w:line="400" w:lineRule="exact"/>
        <w:rPr>
          <w:rFonts w:hint="eastAsia"/>
          <w:color w:val="auto"/>
          <w:highlight w:val="none"/>
        </w:rPr>
      </w:pPr>
      <w:r>
        <w:rPr>
          <w:rFonts w:hint="eastAsia"/>
          <w:color w:val="auto"/>
          <w:highlight w:val="none"/>
          <w:lang w:val="en-US" w:eastAsia="zh-CN"/>
        </w:rPr>
        <w:t>02包：</w:t>
      </w:r>
      <w:r>
        <w:rPr>
          <w:rFonts w:hint="eastAsia" w:ascii="宋体" w:hAnsi="宋体" w:eastAsia="宋体" w:cs="Times New Roman"/>
          <w:color w:val="auto"/>
          <w:highlight w:val="none"/>
          <w:lang w:val="en-US" w:eastAsia="zh-CN"/>
        </w:rPr>
        <w:t>医保收费</w:t>
      </w:r>
      <w:r>
        <w:rPr>
          <w:rFonts w:hint="eastAsia"/>
          <w:color w:val="auto"/>
          <w:highlight w:val="none"/>
          <w:lang w:val="en-US" w:eastAsia="zh-CN"/>
        </w:rPr>
        <w:t>目录内体检项目</w:t>
      </w:r>
    </w:p>
    <w:tbl>
      <w:tblPr>
        <w:tblStyle w:val="16"/>
        <w:tblW w:w="9968"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35"/>
        <w:gridCol w:w="3198"/>
        <w:gridCol w:w="4097"/>
        <w:gridCol w:w="920"/>
        <w:gridCol w:w="11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40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检查意义</w:t>
            </w:r>
          </w:p>
        </w:tc>
        <w:tc>
          <w:tcPr>
            <w:tcW w:w="9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价格</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6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宫颈液基细胞涂片检测（TCT）</w:t>
            </w:r>
          </w:p>
        </w:tc>
        <w:tc>
          <w:tcPr>
            <w:tcW w:w="40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是目前国内外替代传统宫颈涂片检测宫颈癌最准确的检测技术，是此项检查的金标法。</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6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人类乳头瘤病毒  基因分型检测   &lt;HPV23 分型&gt;</w:t>
            </w:r>
          </w:p>
        </w:tc>
        <w:tc>
          <w:tcPr>
            <w:tcW w:w="40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高危型 HPV 感染是宫颈癌发病的最主要病因</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340</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6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高危型人乳头瘤病毒（HPV)E6/E7</w:t>
            </w:r>
          </w:p>
        </w:tc>
        <w:tc>
          <w:tcPr>
            <w:tcW w:w="40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指高危</w:t>
            </w:r>
            <w:r>
              <w:rPr>
                <w:rFonts w:ascii="Arial" w:hAnsi="Arial" w:eastAsia="宋体" w:cs="Arial"/>
                <w:i w:val="0"/>
                <w:iCs w:val="0"/>
                <w:color w:val="1F1F1F"/>
                <w:kern w:val="0"/>
                <w:sz w:val="24"/>
                <w:szCs w:val="24"/>
                <w:u w:val="none"/>
                <w:lang w:val="en-US" w:eastAsia="zh-CN" w:bidi="ar"/>
              </w:rPr>
              <w:t>HPV</w:t>
            </w:r>
            <w:r>
              <w:rPr>
                <w:rFonts w:hint="eastAsia" w:ascii="宋体" w:hAnsi="宋体" w:eastAsia="宋体" w:cs="宋体"/>
                <w:i w:val="0"/>
                <w:iCs w:val="0"/>
                <w:color w:val="1F1F1F"/>
                <w:kern w:val="0"/>
                <w:sz w:val="24"/>
                <w:szCs w:val="24"/>
                <w:u w:val="none"/>
                <w:lang w:val="en-US" w:eastAsia="zh-CN" w:bidi="ar"/>
              </w:rPr>
              <w:t>病毒内存在的致癌基因，通过检测</w:t>
            </w:r>
            <w:r>
              <w:rPr>
                <w:rFonts w:ascii="Arial" w:hAnsi="Arial" w:eastAsia="宋体" w:cs="Arial"/>
                <w:i w:val="0"/>
                <w:iCs w:val="0"/>
                <w:color w:val="1F1F1F"/>
                <w:kern w:val="0"/>
                <w:sz w:val="24"/>
                <w:szCs w:val="24"/>
                <w:u w:val="none"/>
                <w:lang w:val="en-US" w:eastAsia="zh-CN" w:bidi="ar"/>
              </w:rPr>
              <w:t>E6</w:t>
            </w:r>
            <w:r>
              <w:rPr>
                <w:rFonts w:hint="eastAsia" w:ascii="宋体" w:hAnsi="宋体" w:eastAsia="宋体" w:cs="宋体"/>
                <w:i w:val="0"/>
                <w:iCs w:val="0"/>
                <w:color w:val="1F1F1F"/>
                <w:kern w:val="0"/>
                <w:sz w:val="24"/>
                <w:szCs w:val="24"/>
                <w:u w:val="none"/>
                <w:lang w:val="en-US" w:eastAsia="zh-CN" w:bidi="ar"/>
              </w:rPr>
              <w:t>和</w:t>
            </w:r>
            <w:r>
              <w:rPr>
                <w:rFonts w:ascii="Arial" w:hAnsi="Arial" w:eastAsia="宋体" w:cs="Arial"/>
                <w:i w:val="0"/>
                <w:iCs w:val="0"/>
                <w:color w:val="1F1F1F"/>
                <w:kern w:val="0"/>
                <w:sz w:val="24"/>
                <w:szCs w:val="24"/>
                <w:u w:val="none"/>
                <w:lang w:val="en-US" w:eastAsia="zh-CN" w:bidi="ar"/>
              </w:rPr>
              <w:t>E7</w:t>
            </w:r>
            <w:r>
              <w:rPr>
                <w:rFonts w:hint="eastAsia" w:ascii="宋体" w:hAnsi="宋体" w:eastAsia="宋体" w:cs="宋体"/>
                <w:i w:val="0"/>
                <w:iCs w:val="0"/>
                <w:color w:val="1F1F1F"/>
                <w:kern w:val="0"/>
                <w:sz w:val="24"/>
                <w:szCs w:val="24"/>
                <w:u w:val="none"/>
                <w:lang w:val="en-US" w:eastAsia="zh-CN" w:bidi="ar"/>
              </w:rPr>
              <w:t>可以在一定程度上对宫颈癌的发病风险进行预测</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340</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6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载脂蛋白a</w:t>
            </w:r>
          </w:p>
        </w:tc>
        <w:tc>
          <w:tcPr>
            <w:tcW w:w="40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1F1F1F"/>
                <w:sz w:val="24"/>
                <w:szCs w:val="24"/>
                <w:u w:val="none"/>
              </w:rPr>
            </w:pPr>
            <w:r>
              <w:rPr>
                <w:rFonts w:hint="eastAsia" w:ascii="宋体" w:hAnsi="宋体" w:eastAsia="宋体" w:cs="宋体"/>
                <w:i w:val="0"/>
                <w:iCs w:val="0"/>
                <w:color w:val="1F1F1F"/>
                <w:kern w:val="0"/>
                <w:sz w:val="24"/>
                <w:szCs w:val="24"/>
                <w:u w:val="none"/>
                <w:lang w:val="en-US" w:eastAsia="zh-CN" w:bidi="ar"/>
              </w:rPr>
              <w:t>载脂蛋白</w:t>
            </w:r>
            <w:r>
              <w:rPr>
                <w:rFonts w:ascii="Arial" w:hAnsi="Arial" w:eastAsia="宋体" w:cs="Arial"/>
                <w:i w:val="0"/>
                <w:iCs w:val="0"/>
                <w:color w:val="1F1F1F"/>
                <w:kern w:val="0"/>
                <w:sz w:val="24"/>
                <w:szCs w:val="24"/>
                <w:u w:val="none"/>
                <w:lang w:val="en-US" w:eastAsia="zh-CN" w:bidi="ar"/>
              </w:rPr>
              <w:t>a</w:t>
            </w:r>
            <w:r>
              <w:rPr>
                <w:rFonts w:hint="eastAsia" w:ascii="宋体" w:hAnsi="宋体" w:eastAsia="宋体" w:cs="宋体"/>
                <w:i w:val="0"/>
                <w:iCs w:val="0"/>
                <w:color w:val="1F1F1F"/>
                <w:kern w:val="0"/>
                <w:sz w:val="24"/>
                <w:szCs w:val="24"/>
                <w:u w:val="none"/>
                <w:lang w:val="en-US" w:eastAsia="zh-CN" w:bidi="ar"/>
              </w:rPr>
              <w:t>是一种负责运输脂质的蛋白质，如果有明显的升高，属于冠心病的一种高危因素。</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25.5</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6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微阵列化学发光生物芯片（男性）</w:t>
            </w:r>
          </w:p>
        </w:tc>
        <w:tc>
          <w:tcPr>
            <w:tcW w:w="4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可对全身十多个部位实体肿瘤进行全面筛查,覆盖</w:t>
            </w:r>
            <w:r>
              <w:rPr>
                <w:rFonts w:ascii="Calibri" w:hAnsi="Calibri" w:eastAsia="宋体" w:cs="Calibri"/>
                <w:i w:val="0"/>
                <w:iCs w:val="0"/>
                <w:color w:val="000000"/>
                <w:kern w:val="0"/>
                <w:sz w:val="24"/>
                <w:szCs w:val="24"/>
                <w:u w:val="none"/>
                <w:lang w:val="en-US" w:eastAsia="zh-CN" w:bidi="ar"/>
              </w:rPr>
              <w:t>85%</w:t>
            </w:r>
            <w:r>
              <w:rPr>
                <w:rStyle w:val="34"/>
                <w:lang w:val="en-US" w:eastAsia="zh-CN" w:bidi="ar"/>
              </w:rPr>
              <w:t>以上人群高发恶性肿瘤，可以同时检测肝、肺、胃、结直肠、食管、胰腺、男性前列腺、女乳腺、卵巢、宫颈等</w:t>
            </w:r>
            <w:r>
              <w:rPr>
                <w:rFonts w:ascii="Calibri" w:hAnsi="Calibri" w:eastAsia="宋体" w:cs="Calibri"/>
                <w:i w:val="0"/>
                <w:iCs w:val="0"/>
                <w:color w:val="000000"/>
                <w:kern w:val="0"/>
                <w:sz w:val="24"/>
                <w:szCs w:val="24"/>
                <w:u w:val="none"/>
                <w:lang w:val="en-US" w:eastAsia="zh-CN" w:bidi="ar"/>
              </w:rPr>
              <w:t>10</w:t>
            </w:r>
            <w:r>
              <w:rPr>
                <w:rStyle w:val="34"/>
                <w:lang w:val="en-US" w:eastAsia="zh-CN" w:bidi="ar"/>
              </w:rPr>
              <w:t>种以上的肿瘤</w:t>
            </w:r>
          </w:p>
        </w:tc>
        <w:tc>
          <w:tcPr>
            <w:tcW w:w="9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640</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2"/>
                <w:szCs w:val="22"/>
                <w:u w:val="none"/>
                <w:lang w:eastAsia="zh-CN"/>
              </w:rPr>
              <w:t>提供</w:t>
            </w:r>
            <w:r>
              <w:rPr>
                <w:rFonts w:hint="eastAsia" w:ascii="宋体" w:hAnsi="宋体" w:eastAsia="宋体" w:cs="宋体"/>
                <w:i w:val="0"/>
                <w:iCs w:val="0"/>
                <w:color w:val="000000"/>
                <w:kern w:val="0"/>
                <w:sz w:val="24"/>
                <w:szCs w:val="24"/>
                <w:u w:val="none"/>
                <w:lang w:val="en-US" w:eastAsia="zh-CN" w:bidi="ar"/>
              </w:rPr>
              <w:t>试剂盒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6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微阵列化学发光生物芯片（女性）</w:t>
            </w:r>
          </w:p>
        </w:tc>
        <w:tc>
          <w:tcPr>
            <w:tcW w:w="4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可对全身十多个部位实体肿瘤进行全面筛查,覆盖</w:t>
            </w:r>
            <w:r>
              <w:rPr>
                <w:rFonts w:ascii="Calibri" w:hAnsi="Calibri" w:eastAsia="宋体" w:cs="Calibri"/>
                <w:i w:val="0"/>
                <w:iCs w:val="0"/>
                <w:color w:val="000000"/>
                <w:kern w:val="0"/>
                <w:sz w:val="24"/>
                <w:szCs w:val="24"/>
                <w:u w:val="none"/>
                <w:lang w:val="en-US" w:eastAsia="zh-CN" w:bidi="ar"/>
              </w:rPr>
              <w:t>85%</w:t>
            </w:r>
            <w:r>
              <w:rPr>
                <w:rStyle w:val="34"/>
                <w:lang w:val="en-US" w:eastAsia="zh-CN" w:bidi="ar"/>
              </w:rPr>
              <w:t>以上人群高发恶性肿瘤，可以同时检测肝、肺、胃、结直肠、食管、胰腺、男性前列腺、女乳腺、卵巢、宫颈等</w:t>
            </w:r>
            <w:r>
              <w:rPr>
                <w:rFonts w:ascii="Calibri" w:hAnsi="Calibri" w:eastAsia="宋体" w:cs="Calibri"/>
                <w:i w:val="0"/>
                <w:iCs w:val="0"/>
                <w:color w:val="000000"/>
                <w:kern w:val="0"/>
                <w:sz w:val="24"/>
                <w:szCs w:val="24"/>
                <w:u w:val="none"/>
                <w:lang w:val="en-US" w:eastAsia="zh-CN" w:bidi="ar"/>
              </w:rPr>
              <w:t>10</w:t>
            </w:r>
            <w:r>
              <w:rPr>
                <w:rStyle w:val="34"/>
                <w:lang w:val="en-US" w:eastAsia="zh-CN" w:bidi="ar"/>
              </w:rPr>
              <w:t>种以上的肿瘤</w:t>
            </w:r>
          </w:p>
        </w:tc>
        <w:tc>
          <w:tcPr>
            <w:tcW w:w="9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670</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2"/>
                <w:szCs w:val="22"/>
                <w:u w:val="none"/>
                <w:lang w:eastAsia="zh-CN"/>
              </w:rPr>
              <w:t>提供</w:t>
            </w:r>
            <w:r>
              <w:rPr>
                <w:rFonts w:hint="eastAsia" w:ascii="宋体" w:hAnsi="宋体" w:eastAsia="宋体" w:cs="宋体"/>
                <w:i w:val="0"/>
                <w:iCs w:val="0"/>
                <w:color w:val="000000"/>
                <w:kern w:val="0"/>
                <w:sz w:val="24"/>
                <w:szCs w:val="24"/>
                <w:u w:val="none"/>
                <w:lang w:val="en-US" w:eastAsia="zh-CN" w:bidi="ar"/>
              </w:rPr>
              <w:t>试剂盒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6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3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男性肿瘤标志物检测（管式化学发光）</w:t>
            </w:r>
          </w:p>
        </w:tc>
        <w:tc>
          <w:tcPr>
            <w:tcW w:w="4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常用肿瘤标志物检查，以达到对10种常见的恶性肿瘤（原发性肝癌、肺癌、前列腺癌、胰腺癌、胃癌、食道癌、卵巢癌、子宫内膜癌、结直肠癌、乳腺癌）初步的筛查和监测</w:t>
            </w:r>
          </w:p>
        </w:tc>
        <w:tc>
          <w:tcPr>
            <w:tcW w:w="9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655</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6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3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女性肿瘤标志物检测（管式化学发光）</w:t>
            </w:r>
          </w:p>
        </w:tc>
        <w:tc>
          <w:tcPr>
            <w:tcW w:w="4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常用肿瘤标志物检查，以达到对10种常见的恶性肿瘤（原发性肝癌、肺癌、前列腺癌、胰腺癌、胃癌、食道癌、卵巢癌、子宫内膜癌、结直肠癌、乳腺癌）初步的筛查和监测</w:t>
            </w:r>
          </w:p>
        </w:tc>
        <w:tc>
          <w:tcPr>
            <w:tcW w:w="9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685</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7" w:hRule="atLeast"/>
        </w:trPr>
        <w:tc>
          <w:tcPr>
            <w:tcW w:w="6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3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细胞角蛋白19片段测定（CYFRA21-1)</w:t>
            </w:r>
          </w:p>
        </w:tc>
        <w:tc>
          <w:tcPr>
            <w:tcW w:w="4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非小细胞肺癌等肿瘤的诊断。</w:t>
            </w:r>
          </w:p>
        </w:tc>
        <w:tc>
          <w:tcPr>
            <w:tcW w:w="9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粪便钙卫蛋白定量检测</w:t>
            </w:r>
          </w:p>
        </w:tc>
        <w:tc>
          <w:tcPr>
            <w:tcW w:w="4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肠道炎症动态指标，IBD与IBS鉴别。</w:t>
            </w:r>
          </w:p>
        </w:tc>
        <w:tc>
          <w:tcPr>
            <w:tcW w:w="9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142</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3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粪便隐血定量试验</w:t>
            </w:r>
          </w:p>
        </w:tc>
        <w:tc>
          <w:tcPr>
            <w:tcW w:w="4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FIT定量检测，筛查结直肠癌重要指标。</w:t>
            </w:r>
          </w:p>
        </w:tc>
        <w:tc>
          <w:tcPr>
            <w:tcW w:w="9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3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隐血试验联合铁蛋白沉淀</w:t>
            </w:r>
          </w:p>
        </w:tc>
        <w:tc>
          <w:tcPr>
            <w:tcW w:w="4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居家自检项目，筛查消化道息肉/出血。</w:t>
            </w:r>
          </w:p>
        </w:tc>
        <w:tc>
          <w:tcPr>
            <w:tcW w:w="9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3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细菌抗体测定</w:t>
            </w:r>
          </w:p>
        </w:tc>
        <w:tc>
          <w:tcPr>
            <w:tcW w:w="4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幽门螺杆菌重要毒力因子检测与分型，区分高低毒力。</w:t>
            </w:r>
          </w:p>
        </w:tc>
        <w:tc>
          <w:tcPr>
            <w:tcW w:w="9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175</w:t>
            </w:r>
          </w:p>
        </w:tc>
        <w:tc>
          <w:tcPr>
            <w:tcW w:w="1118"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bl>
    <w:p>
      <w:pPr>
        <w:pStyle w:val="14"/>
        <w:spacing w:before="0" w:beforeAutospacing="0" w:after="0" w:afterAutospacing="0" w:line="400" w:lineRule="exact"/>
        <w:rPr>
          <w:rFonts w:hint="eastAsia"/>
          <w:color w:val="auto"/>
          <w:highlight w:val="none"/>
        </w:rPr>
      </w:pPr>
    </w:p>
    <w:p>
      <w:pPr>
        <w:pStyle w:val="14"/>
        <w:spacing w:before="0" w:beforeAutospacing="0" w:after="0" w:afterAutospacing="0" w:line="400" w:lineRule="exact"/>
        <w:rPr>
          <w:b/>
          <w:color w:val="auto"/>
          <w:highlight w:val="none"/>
        </w:rPr>
      </w:pPr>
      <w:r>
        <w:rPr>
          <w:rFonts w:hint="eastAsia"/>
          <w:b/>
          <w:color w:val="auto"/>
          <w:highlight w:val="none"/>
          <w:lang w:val="en-US" w:eastAsia="zh-CN"/>
        </w:rPr>
        <w:t>三</w:t>
      </w:r>
      <w:r>
        <w:rPr>
          <w:rFonts w:hint="eastAsia"/>
          <w:b/>
          <w:color w:val="auto"/>
          <w:highlight w:val="none"/>
        </w:rPr>
        <w:t>、项目管理要求</w:t>
      </w:r>
    </w:p>
    <w:p>
      <w:pPr>
        <w:pStyle w:val="14"/>
        <w:spacing w:before="0" w:beforeAutospacing="0" w:after="0" w:afterAutospacing="0" w:line="400" w:lineRule="exact"/>
        <w:ind w:firstLine="480" w:firstLineChars="200"/>
        <w:rPr>
          <w:color w:val="auto"/>
          <w:highlight w:val="none"/>
        </w:rPr>
      </w:pPr>
      <w:r>
        <w:rPr>
          <w:rFonts w:hint="eastAsia"/>
          <w:color w:val="auto"/>
          <w:highlight w:val="none"/>
        </w:rPr>
        <w:t>1.投标人须制定符合本项目要求的各项服务质量管理方案，并在中标后根据采购人的要求进行适当修改，并接受采购人的监督；</w:t>
      </w:r>
    </w:p>
    <w:p>
      <w:pPr>
        <w:pStyle w:val="14"/>
        <w:spacing w:before="0" w:beforeAutospacing="0" w:after="0" w:afterAutospacing="0" w:line="400" w:lineRule="exact"/>
        <w:ind w:firstLine="480" w:firstLineChars="200"/>
        <w:rPr>
          <w:color w:val="auto"/>
          <w:highlight w:val="none"/>
        </w:rPr>
      </w:pPr>
      <w:r>
        <w:rPr>
          <w:rFonts w:hint="eastAsia"/>
          <w:color w:val="auto"/>
          <w:highlight w:val="none"/>
        </w:rPr>
        <w:t>2.投标人必须建立相应的工作流程、管理制度、管理架构，对各项工作流程安排情况及时通知采购人，接受采购人监督。</w:t>
      </w:r>
    </w:p>
    <w:p>
      <w:pPr>
        <w:pStyle w:val="14"/>
        <w:spacing w:before="0" w:beforeAutospacing="0" w:after="0" w:afterAutospacing="0" w:line="400" w:lineRule="exact"/>
        <w:ind w:firstLine="480" w:firstLineChars="200"/>
        <w:rPr>
          <w:rFonts w:hint="eastAsia"/>
          <w:b w:val="0"/>
          <w:bCs w:val="0"/>
          <w:color w:val="auto"/>
          <w:highlight w:val="none"/>
        </w:rPr>
      </w:pPr>
      <w:r>
        <w:rPr>
          <w:rFonts w:hint="eastAsia"/>
          <w:b w:val="0"/>
          <w:bCs w:val="0"/>
          <w:color w:val="auto"/>
          <w:highlight w:val="none"/>
          <w:lang w:val="en-US" w:eastAsia="zh-CN"/>
        </w:rPr>
        <w:t>3</w:t>
      </w:r>
      <w:r>
        <w:rPr>
          <w:rFonts w:hint="eastAsia"/>
          <w:b w:val="0"/>
          <w:bCs w:val="0"/>
          <w:color w:val="auto"/>
          <w:highlight w:val="none"/>
        </w:rPr>
        <w:t>、被委托方接受招标方对委托服务项目工作的监管。</w:t>
      </w:r>
    </w:p>
    <w:p>
      <w:pPr>
        <w:pStyle w:val="5"/>
        <w:rPr>
          <w:rFonts w:ascii="宋体" w:hAnsi="宋体"/>
          <w:color w:val="auto"/>
          <w:sz w:val="24"/>
          <w:szCs w:val="24"/>
          <w:highlight w:val="none"/>
        </w:rPr>
      </w:pPr>
      <w:r>
        <w:rPr>
          <w:rFonts w:hint="eastAsia" w:ascii="宋体" w:hAnsi="宋体"/>
          <w:color w:val="auto"/>
          <w:sz w:val="24"/>
          <w:szCs w:val="24"/>
          <w:highlight w:val="none"/>
        </w:rPr>
        <w:t>附件：1服务流程</w:t>
      </w:r>
    </w:p>
    <w:tbl>
      <w:tblPr>
        <w:tblStyle w:val="16"/>
        <w:tblW w:w="98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2682"/>
        <w:gridCol w:w="5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exact"/>
          <w:jc w:val="center"/>
        </w:trPr>
        <w:tc>
          <w:tcPr>
            <w:tcW w:w="1163" w:type="dxa"/>
            <w:shd w:val="clear" w:color="auto" w:fill="EEECE1"/>
            <w:noWrap w:val="0"/>
            <w:vAlign w:val="center"/>
          </w:tcPr>
          <w:p>
            <w:pPr>
              <w:spacing w:line="276" w:lineRule="auto"/>
              <w:jc w:val="center"/>
              <w:rPr>
                <w:rFonts w:ascii="宋体" w:hAnsi="宋体" w:cs="宋体"/>
                <w:b/>
                <w:color w:val="auto"/>
                <w:sz w:val="24"/>
                <w:szCs w:val="24"/>
                <w:highlight w:val="none"/>
              </w:rPr>
            </w:pPr>
            <w:r>
              <w:rPr>
                <w:rFonts w:hint="eastAsia" w:ascii="宋体" w:hAnsi="宋体" w:cs="宋体"/>
                <w:b/>
                <w:color w:val="auto"/>
                <w:sz w:val="24"/>
                <w:szCs w:val="24"/>
                <w:highlight w:val="none"/>
              </w:rPr>
              <w:t>序号</w:t>
            </w:r>
          </w:p>
        </w:tc>
        <w:tc>
          <w:tcPr>
            <w:tcW w:w="2682" w:type="dxa"/>
            <w:shd w:val="clear" w:color="auto" w:fill="EEECE1"/>
            <w:noWrap w:val="0"/>
            <w:vAlign w:val="center"/>
          </w:tcPr>
          <w:p>
            <w:pPr>
              <w:spacing w:line="276" w:lineRule="auto"/>
              <w:jc w:val="center"/>
              <w:rPr>
                <w:rFonts w:ascii="宋体" w:hAnsi="宋体" w:cs="宋体"/>
                <w:b/>
                <w:color w:val="auto"/>
                <w:sz w:val="24"/>
                <w:szCs w:val="24"/>
                <w:highlight w:val="none"/>
              </w:rPr>
            </w:pPr>
            <w:r>
              <w:rPr>
                <w:rFonts w:hint="eastAsia" w:ascii="宋体" w:hAnsi="宋体" w:cs="宋体"/>
                <w:b/>
                <w:color w:val="auto"/>
                <w:sz w:val="24"/>
                <w:szCs w:val="24"/>
                <w:highlight w:val="none"/>
              </w:rPr>
              <w:t>事项</w:t>
            </w:r>
          </w:p>
        </w:tc>
        <w:tc>
          <w:tcPr>
            <w:tcW w:w="5990" w:type="dxa"/>
            <w:shd w:val="clear" w:color="auto" w:fill="EEECE1"/>
            <w:noWrap w:val="0"/>
            <w:vAlign w:val="center"/>
          </w:tcPr>
          <w:p>
            <w:pPr>
              <w:spacing w:line="276" w:lineRule="auto"/>
              <w:jc w:val="center"/>
              <w:rPr>
                <w:rFonts w:ascii="宋体" w:hAnsi="宋体" w:cs="宋体"/>
                <w:b/>
                <w:color w:val="auto"/>
                <w:sz w:val="24"/>
                <w:szCs w:val="24"/>
                <w:highlight w:val="none"/>
              </w:rPr>
            </w:pPr>
            <w:r>
              <w:rPr>
                <w:rFonts w:hint="eastAsia" w:ascii="宋体" w:hAnsi="宋体" w:cs="宋体"/>
                <w:b/>
                <w:color w:val="auto"/>
                <w:sz w:val="24"/>
                <w:szCs w:val="24"/>
                <w:highlight w:val="none"/>
              </w:rPr>
              <w:t>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4" w:hRule="atLeast"/>
          <w:jc w:val="center"/>
        </w:trPr>
        <w:tc>
          <w:tcPr>
            <w:tcW w:w="1163" w:type="dxa"/>
            <w:noWrap w:val="0"/>
            <w:vAlign w:val="center"/>
          </w:tcPr>
          <w:p>
            <w:pPr>
              <w:spacing w:line="276"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1</w:t>
            </w:r>
          </w:p>
        </w:tc>
        <w:tc>
          <w:tcPr>
            <w:tcW w:w="2682" w:type="dxa"/>
            <w:noWrap w:val="0"/>
            <w:vAlign w:val="center"/>
          </w:tcPr>
          <w:p>
            <w:pPr>
              <w:spacing w:line="276" w:lineRule="auto"/>
              <w:jc w:val="left"/>
              <w:rPr>
                <w:rFonts w:ascii="宋体" w:hAnsi="宋体" w:cs="宋体"/>
                <w:color w:val="auto"/>
                <w:sz w:val="24"/>
                <w:szCs w:val="24"/>
                <w:highlight w:val="none"/>
              </w:rPr>
            </w:pPr>
            <w:r>
              <w:rPr>
                <w:rFonts w:hint="eastAsia" w:ascii="宋体" w:hAnsi="宋体" w:cs="宋体"/>
                <w:color w:val="auto"/>
                <w:kern w:val="0"/>
                <w:sz w:val="24"/>
                <w:szCs w:val="24"/>
                <w:highlight w:val="none"/>
              </w:rPr>
              <w:t>标本收集、储存、运送、接送流程</w:t>
            </w:r>
            <w:r>
              <w:rPr>
                <w:rFonts w:hint="eastAsia" w:ascii="宋体" w:hAnsi="宋体" w:cs="宋体"/>
                <w:color w:val="auto"/>
                <w:sz w:val="24"/>
                <w:szCs w:val="24"/>
                <w:highlight w:val="none"/>
              </w:rPr>
              <w:t>方案（含交通工具和路线设计）</w:t>
            </w:r>
          </w:p>
        </w:tc>
        <w:tc>
          <w:tcPr>
            <w:tcW w:w="5990" w:type="dxa"/>
            <w:noWrap w:val="0"/>
            <w:vAlign w:val="center"/>
          </w:tcPr>
          <w:p>
            <w:pPr>
              <w:pStyle w:val="33"/>
              <w:numPr>
                <w:ilvl w:val="0"/>
                <w:numId w:val="3"/>
              </w:numPr>
              <w:spacing w:line="276" w:lineRule="auto"/>
              <w:ind w:firstLineChars="0"/>
              <w:rPr>
                <w:rFonts w:ascii="宋体" w:hAnsi="宋体" w:cs="宋体"/>
                <w:color w:val="auto"/>
                <w:kern w:val="0"/>
                <w:sz w:val="24"/>
                <w:highlight w:val="none"/>
              </w:rPr>
            </w:pPr>
            <w:r>
              <w:rPr>
                <w:rFonts w:hint="eastAsia" w:ascii="宋体" w:hAnsi="宋体" w:cs="宋体"/>
                <w:color w:val="auto"/>
                <w:kern w:val="0"/>
                <w:sz w:val="24"/>
                <w:highlight w:val="none"/>
              </w:rPr>
              <w:t>标本由专人收集。</w:t>
            </w:r>
          </w:p>
          <w:p>
            <w:pPr>
              <w:pStyle w:val="33"/>
              <w:numPr>
                <w:ilvl w:val="0"/>
                <w:numId w:val="3"/>
              </w:numPr>
              <w:spacing w:line="276" w:lineRule="auto"/>
              <w:ind w:firstLineChars="0"/>
              <w:rPr>
                <w:rFonts w:ascii="宋体" w:hAnsi="宋体" w:cs="宋体"/>
                <w:color w:val="auto"/>
                <w:kern w:val="0"/>
                <w:sz w:val="24"/>
                <w:highlight w:val="none"/>
              </w:rPr>
            </w:pPr>
            <w:r>
              <w:rPr>
                <w:rFonts w:hint="eastAsia" w:ascii="宋体" w:hAnsi="宋体" w:cs="宋体"/>
                <w:color w:val="auto"/>
                <w:kern w:val="0"/>
                <w:sz w:val="24"/>
                <w:highlight w:val="none"/>
              </w:rPr>
              <w:t>存储运送过程严格按照冷链物流要求执行。</w:t>
            </w:r>
          </w:p>
          <w:p>
            <w:pPr>
              <w:pStyle w:val="33"/>
              <w:numPr>
                <w:ilvl w:val="0"/>
                <w:numId w:val="3"/>
              </w:numPr>
              <w:spacing w:line="276" w:lineRule="auto"/>
              <w:ind w:firstLineChars="0"/>
              <w:rPr>
                <w:rFonts w:ascii="宋体" w:hAnsi="宋体" w:cs="宋体"/>
                <w:color w:val="auto"/>
                <w:sz w:val="24"/>
                <w:highlight w:val="none"/>
              </w:rPr>
            </w:pPr>
            <w:r>
              <w:rPr>
                <w:rFonts w:hint="eastAsia" w:ascii="宋体" w:hAnsi="宋体" w:cs="宋体"/>
                <w:color w:val="auto"/>
                <w:sz w:val="24"/>
                <w:highlight w:val="none"/>
              </w:rPr>
              <w:t>接送流程方案详见下述内容。</w:t>
            </w:r>
            <w:r>
              <w:rPr>
                <w:rFonts w:hint="eastAsia" w:ascii="宋体" w:hAnsi="宋体" w:cs="宋体"/>
                <w:color w:val="auto"/>
                <w:sz w:val="24"/>
                <w:highlight w:val="none"/>
              </w:rPr>
              <w:tab/>
            </w:r>
          </w:p>
          <w:p>
            <w:pPr>
              <w:pStyle w:val="33"/>
              <w:numPr>
                <w:ilvl w:val="0"/>
                <w:numId w:val="3"/>
              </w:numPr>
              <w:spacing w:line="276" w:lineRule="auto"/>
              <w:ind w:firstLineChars="0"/>
              <w:rPr>
                <w:rFonts w:ascii="宋体" w:hAnsi="宋体" w:cs="宋体"/>
                <w:color w:val="auto"/>
                <w:sz w:val="24"/>
                <w:highlight w:val="none"/>
              </w:rPr>
            </w:pPr>
            <w:r>
              <w:rPr>
                <w:rFonts w:hint="eastAsia" w:ascii="宋体" w:hAnsi="宋体" w:cs="宋体"/>
                <w:color w:val="auto"/>
                <w:sz w:val="24"/>
                <w:highlight w:val="none"/>
                <w:lang w:eastAsia="zh-CN"/>
              </w:rPr>
              <w:t>提供特殊项目的采样管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163" w:type="dxa"/>
            <w:noWrap w:val="0"/>
            <w:vAlign w:val="center"/>
          </w:tcPr>
          <w:p>
            <w:pPr>
              <w:spacing w:line="276"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2</w:t>
            </w:r>
          </w:p>
        </w:tc>
        <w:tc>
          <w:tcPr>
            <w:tcW w:w="2682" w:type="dxa"/>
            <w:noWrap w:val="0"/>
            <w:vAlign w:val="center"/>
          </w:tcPr>
          <w:p>
            <w:pPr>
              <w:spacing w:line="276" w:lineRule="auto"/>
              <w:jc w:val="left"/>
              <w:rPr>
                <w:rFonts w:ascii="宋体" w:hAnsi="宋体" w:cs="宋体"/>
                <w:color w:val="auto"/>
                <w:sz w:val="24"/>
                <w:szCs w:val="24"/>
                <w:highlight w:val="none"/>
              </w:rPr>
            </w:pPr>
            <w:r>
              <w:rPr>
                <w:rFonts w:hint="eastAsia" w:ascii="宋体" w:hAnsi="宋体" w:cs="宋体"/>
                <w:color w:val="auto"/>
                <w:sz w:val="24"/>
                <w:szCs w:val="24"/>
                <w:highlight w:val="none"/>
              </w:rPr>
              <w:t>标本接收时间</w:t>
            </w:r>
          </w:p>
        </w:tc>
        <w:tc>
          <w:tcPr>
            <w:tcW w:w="5990" w:type="dxa"/>
            <w:noWrap w:val="0"/>
            <w:vAlign w:val="center"/>
          </w:tcPr>
          <w:p>
            <w:pPr>
              <w:spacing w:line="276" w:lineRule="auto"/>
              <w:jc w:val="left"/>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周一至周六下午4点上门收取标本，或接医院通知2个小时内上门收取标本</w:t>
            </w:r>
            <w:r>
              <w:rPr>
                <w:rFonts w:hint="eastAsia" w:ascii="宋体" w:hAnsi="宋体" w:cs="宋体"/>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163" w:type="dxa"/>
            <w:noWrap w:val="0"/>
            <w:vAlign w:val="center"/>
          </w:tcPr>
          <w:p>
            <w:pPr>
              <w:spacing w:line="276"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3</w:t>
            </w:r>
          </w:p>
        </w:tc>
        <w:tc>
          <w:tcPr>
            <w:tcW w:w="2682" w:type="dxa"/>
            <w:noWrap w:val="0"/>
            <w:vAlign w:val="center"/>
          </w:tcPr>
          <w:p>
            <w:pPr>
              <w:spacing w:line="276" w:lineRule="auto"/>
              <w:jc w:val="both"/>
              <w:rPr>
                <w:rFonts w:ascii="宋体" w:hAnsi="宋体" w:cs="宋体"/>
                <w:b/>
                <w:bCs/>
                <w:color w:val="auto"/>
                <w:sz w:val="24"/>
                <w:szCs w:val="24"/>
                <w:highlight w:val="none"/>
              </w:rPr>
            </w:pPr>
            <w:r>
              <w:rPr>
                <w:rFonts w:hint="eastAsia" w:ascii="FangSong_GB2312" w:hAnsi="宋体" w:eastAsia="宋体" w:cs="Times New Roman"/>
                <w:color w:val="auto"/>
                <w:kern w:val="2"/>
                <w:sz w:val="24"/>
                <w:szCs w:val="24"/>
                <w:highlight w:val="none"/>
                <w:lang w:val="en-US" w:eastAsia="zh-CN" w:bidi="ar-SA"/>
              </w:rPr>
              <w:t>报告时间</w:t>
            </w:r>
          </w:p>
        </w:tc>
        <w:tc>
          <w:tcPr>
            <w:tcW w:w="5990" w:type="dxa"/>
            <w:noWrap w:val="0"/>
            <w:vAlign w:val="center"/>
          </w:tcPr>
          <w:p>
            <w:pPr>
              <w:pStyle w:val="33"/>
              <w:numPr>
                <w:ilvl w:val="0"/>
                <w:numId w:val="4"/>
              </w:numPr>
              <w:spacing w:line="276" w:lineRule="auto"/>
              <w:ind w:firstLineChars="0"/>
              <w:rPr>
                <w:rFonts w:ascii="宋体" w:hAnsi="宋体" w:cs="宋体"/>
                <w:b/>
                <w:bCs/>
                <w:color w:val="FF0000"/>
                <w:sz w:val="24"/>
                <w:highlight w:val="none"/>
              </w:rPr>
            </w:pPr>
            <w:r>
              <w:rPr>
                <w:rFonts w:hint="eastAsia" w:ascii="宋体" w:hAnsi="宋体" w:cs="宋体"/>
                <w:b/>
                <w:bCs/>
                <w:color w:val="FF0000"/>
                <w:sz w:val="24"/>
                <w:highlight w:val="none"/>
                <w:lang w:val="en-US" w:eastAsia="zh-CN"/>
              </w:rPr>
              <w:t>5个工作日内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4" w:hRule="atLeast"/>
          <w:jc w:val="center"/>
        </w:trPr>
        <w:tc>
          <w:tcPr>
            <w:tcW w:w="1163" w:type="dxa"/>
            <w:noWrap w:val="0"/>
            <w:vAlign w:val="center"/>
          </w:tcPr>
          <w:p>
            <w:pPr>
              <w:spacing w:line="276"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4、</w:t>
            </w:r>
          </w:p>
        </w:tc>
        <w:tc>
          <w:tcPr>
            <w:tcW w:w="2682" w:type="dxa"/>
            <w:noWrap w:val="0"/>
            <w:vAlign w:val="center"/>
          </w:tcPr>
          <w:p>
            <w:pPr>
              <w:spacing w:line="276" w:lineRule="auto"/>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危急值报告</w:t>
            </w:r>
          </w:p>
        </w:tc>
        <w:tc>
          <w:tcPr>
            <w:tcW w:w="5990" w:type="dxa"/>
            <w:noWrap w:val="0"/>
            <w:vAlign w:val="center"/>
          </w:tcPr>
          <w:p>
            <w:pPr>
              <w:spacing w:line="420" w:lineRule="exact"/>
              <w:rPr>
                <w:rFonts w:hint="eastAsia" w:ascii="FangSong_GB2312" w:hAnsi="宋体"/>
                <w:color w:val="auto"/>
                <w:sz w:val="24"/>
                <w:szCs w:val="24"/>
                <w:highlight w:val="none"/>
              </w:rPr>
            </w:pPr>
            <w:r>
              <w:rPr>
                <w:rFonts w:hint="eastAsia" w:ascii="FangSong_GB2312" w:hAnsi="宋体"/>
                <w:color w:val="auto"/>
                <w:sz w:val="24"/>
                <w:szCs w:val="24"/>
                <w:highlight w:val="none"/>
              </w:rPr>
              <w:t>委托项目发现危急值，被委托的检验方、业务员需在10m分钟内电话通知临床开单医生，同时发送短信。如未联系不上开单医生需及时联系科室值班人员。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9" w:hRule="atLeast"/>
          <w:jc w:val="center"/>
        </w:trPr>
        <w:tc>
          <w:tcPr>
            <w:tcW w:w="1163" w:type="dxa"/>
            <w:noWrap w:val="0"/>
            <w:vAlign w:val="center"/>
          </w:tcPr>
          <w:p>
            <w:pPr>
              <w:spacing w:line="276"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5</w:t>
            </w:r>
          </w:p>
        </w:tc>
        <w:tc>
          <w:tcPr>
            <w:tcW w:w="2682" w:type="dxa"/>
            <w:noWrap w:val="0"/>
            <w:vAlign w:val="center"/>
          </w:tcPr>
          <w:p>
            <w:pPr>
              <w:spacing w:line="276" w:lineRule="auto"/>
              <w:jc w:val="both"/>
              <w:rPr>
                <w:rFonts w:ascii="宋体" w:hAnsi="宋体" w:cs="宋体"/>
                <w:color w:val="auto"/>
                <w:sz w:val="24"/>
                <w:szCs w:val="24"/>
                <w:highlight w:val="none"/>
              </w:rPr>
            </w:pPr>
            <w:r>
              <w:rPr>
                <w:rFonts w:hint="eastAsia" w:ascii="宋体" w:hAnsi="宋体" w:cs="宋体"/>
                <w:color w:val="auto"/>
                <w:sz w:val="24"/>
                <w:szCs w:val="24"/>
                <w:highlight w:val="none"/>
              </w:rPr>
              <w:t>检查结果如果存在异议或者引起纠纷的解决方案</w:t>
            </w:r>
          </w:p>
        </w:tc>
        <w:tc>
          <w:tcPr>
            <w:tcW w:w="5990" w:type="dxa"/>
            <w:noWrap w:val="0"/>
            <w:vAlign w:val="center"/>
          </w:tcPr>
          <w:p>
            <w:pPr>
              <w:spacing w:line="276" w:lineRule="auto"/>
              <w:rPr>
                <w:rFonts w:ascii="宋体" w:hAnsi="宋体" w:cs="宋体"/>
                <w:b/>
                <w:color w:val="auto"/>
                <w:sz w:val="24"/>
                <w:szCs w:val="24"/>
                <w:highlight w:val="none"/>
              </w:rPr>
            </w:pPr>
            <w:r>
              <w:rPr>
                <w:rFonts w:hint="eastAsia" w:ascii="宋体" w:hAnsi="宋体" w:cs="宋体"/>
                <w:color w:val="auto"/>
                <w:kern w:val="0"/>
                <w:sz w:val="24"/>
                <w:szCs w:val="24"/>
                <w:highlight w:val="none"/>
              </w:rPr>
              <w:t>提供纠纷解决方案并</w:t>
            </w:r>
            <w:r>
              <w:rPr>
                <w:rFonts w:hint="eastAsia" w:ascii="宋体" w:hAnsi="宋体" w:cs="宋体"/>
                <w:color w:val="auto"/>
                <w:sz w:val="24"/>
                <w:szCs w:val="24"/>
                <w:highlight w:val="none"/>
              </w:rPr>
              <w:t>承担全部赔偿金额</w:t>
            </w:r>
            <w:r>
              <w:rPr>
                <w:rFonts w:hint="eastAsia" w:ascii="宋体" w:hAnsi="宋体" w:cs="宋体"/>
                <w:b/>
                <w:color w:val="auto"/>
                <w:sz w:val="24"/>
                <w:szCs w:val="24"/>
                <w:highlight w:val="none"/>
              </w:rPr>
              <w:t>：</w:t>
            </w:r>
          </w:p>
          <w:p>
            <w:pPr>
              <w:pStyle w:val="33"/>
              <w:numPr>
                <w:ilvl w:val="0"/>
                <w:numId w:val="5"/>
              </w:numPr>
              <w:spacing w:line="276" w:lineRule="auto"/>
              <w:ind w:firstLineChars="0"/>
              <w:rPr>
                <w:rFonts w:ascii="宋体" w:hAnsi="宋体" w:cs="宋体"/>
                <w:color w:val="auto"/>
                <w:sz w:val="24"/>
                <w:highlight w:val="none"/>
              </w:rPr>
            </w:pPr>
            <w:r>
              <w:rPr>
                <w:rFonts w:hint="eastAsia" w:ascii="宋体" w:hAnsi="宋体" w:cs="宋体"/>
                <w:color w:val="auto"/>
                <w:sz w:val="24"/>
                <w:highlight w:val="none"/>
              </w:rPr>
              <w:t>根据发生纠纷的情况与院方成立临时纠纷处理小组，组员由双方人员组成。</w:t>
            </w:r>
          </w:p>
          <w:p>
            <w:pPr>
              <w:pStyle w:val="33"/>
              <w:numPr>
                <w:ilvl w:val="0"/>
                <w:numId w:val="5"/>
              </w:numPr>
              <w:spacing w:line="276" w:lineRule="auto"/>
              <w:ind w:firstLineChars="0"/>
              <w:rPr>
                <w:rFonts w:ascii="宋体" w:hAnsi="宋体" w:cs="宋体"/>
                <w:color w:val="auto"/>
                <w:sz w:val="24"/>
                <w:highlight w:val="none"/>
              </w:rPr>
            </w:pPr>
            <w:r>
              <w:rPr>
                <w:rFonts w:hint="eastAsia" w:ascii="宋体" w:hAnsi="宋体" w:cs="宋体"/>
                <w:color w:val="auto"/>
                <w:sz w:val="24"/>
                <w:highlight w:val="none"/>
              </w:rPr>
              <w:t>组员召开纠纷处理沟通会并商议确定解决方案。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1" w:hRule="atLeast"/>
          <w:jc w:val="center"/>
        </w:trPr>
        <w:tc>
          <w:tcPr>
            <w:tcW w:w="1163" w:type="dxa"/>
            <w:noWrap w:val="0"/>
            <w:vAlign w:val="center"/>
          </w:tcPr>
          <w:p>
            <w:pPr>
              <w:spacing w:line="276"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6</w:t>
            </w:r>
          </w:p>
        </w:tc>
        <w:tc>
          <w:tcPr>
            <w:tcW w:w="2682" w:type="dxa"/>
            <w:noWrap w:val="0"/>
            <w:vAlign w:val="center"/>
          </w:tcPr>
          <w:p>
            <w:pPr>
              <w:spacing w:line="276" w:lineRule="auto"/>
              <w:jc w:val="both"/>
              <w:rPr>
                <w:rFonts w:ascii="宋体" w:hAnsi="宋体" w:cs="宋体"/>
                <w:color w:val="FF0000"/>
                <w:sz w:val="24"/>
                <w:szCs w:val="24"/>
                <w:highlight w:val="none"/>
              </w:rPr>
            </w:pPr>
            <w:r>
              <w:rPr>
                <w:rFonts w:hint="eastAsia" w:ascii="宋体" w:hAnsi="宋体" w:cs="宋体"/>
                <w:color w:val="FF0000"/>
                <w:sz w:val="24"/>
                <w:szCs w:val="24"/>
                <w:highlight w:val="none"/>
              </w:rPr>
              <w:t>标本存放时间</w:t>
            </w:r>
          </w:p>
        </w:tc>
        <w:tc>
          <w:tcPr>
            <w:tcW w:w="5990" w:type="dxa"/>
            <w:noWrap w:val="0"/>
            <w:vAlign w:val="center"/>
          </w:tcPr>
          <w:p>
            <w:pPr>
              <w:spacing w:line="276" w:lineRule="auto"/>
              <w:jc w:val="both"/>
              <w:rPr>
                <w:rFonts w:ascii="宋体" w:hAnsi="宋体" w:cs="宋体"/>
                <w:color w:val="FF0000"/>
                <w:sz w:val="24"/>
                <w:szCs w:val="24"/>
                <w:highlight w:val="none"/>
              </w:rPr>
            </w:pPr>
            <w:r>
              <w:rPr>
                <w:rFonts w:hint="eastAsia" w:ascii="宋体" w:hAnsi="宋体" w:cs="宋体"/>
                <w:color w:val="FF0000"/>
                <w:sz w:val="24"/>
                <w:szCs w:val="24"/>
                <w:highlight w:val="none"/>
              </w:rPr>
              <w:t>病理切片：保存30年</w:t>
            </w:r>
          </w:p>
          <w:p>
            <w:pPr>
              <w:spacing w:line="276" w:lineRule="auto"/>
              <w:jc w:val="both"/>
              <w:rPr>
                <w:rFonts w:hint="eastAsia" w:ascii="宋体" w:hAnsi="宋体" w:cs="宋体"/>
                <w:color w:val="FF0000"/>
                <w:sz w:val="24"/>
                <w:szCs w:val="24"/>
                <w:highlight w:val="none"/>
              </w:rPr>
            </w:pPr>
            <w:r>
              <w:rPr>
                <w:rFonts w:hint="eastAsia" w:ascii="宋体" w:hAnsi="宋体" w:cs="宋体"/>
                <w:color w:val="FF0000"/>
                <w:sz w:val="24"/>
                <w:szCs w:val="24"/>
                <w:highlight w:val="none"/>
              </w:rPr>
              <w:t>病理蜡块组织：保存30年</w:t>
            </w:r>
          </w:p>
          <w:p>
            <w:pPr>
              <w:spacing w:line="276" w:lineRule="auto"/>
              <w:jc w:val="both"/>
              <w:rPr>
                <w:rFonts w:hint="eastAsia" w:ascii="宋体" w:hAnsi="宋体" w:eastAsia="宋体" w:cs="宋体"/>
                <w:color w:val="FF0000"/>
                <w:sz w:val="24"/>
                <w:szCs w:val="24"/>
                <w:highlight w:val="none"/>
                <w:lang w:eastAsia="zh-CN"/>
              </w:rPr>
            </w:pPr>
            <w:r>
              <w:rPr>
                <w:rFonts w:hint="eastAsia" w:ascii="宋体" w:hAnsi="宋体" w:cs="宋体"/>
                <w:color w:val="FF0000"/>
                <w:sz w:val="24"/>
                <w:szCs w:val="24"/>
                <w:highlight w:val="yellow"/>
                <w:lang w:eastAsia="zh-CN"/>
              </w:rPr>
              <w:t>备注：诊断蜡块及免疫组化切片由本院病理科保存,双方办理交接手续。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1" w:hRule="atLeast"/>
          <w:jc w:val="center"/>
        </w:trPr>
        <w:tc>
          <w:tcPr>
            <w:tcW w:w="1163" w:type="dxa"/>
            <w:noWrap w:val="0"/>
            <w:vAlign w:val="center"/>
          </w:tcPr>
          <w:p>
            <w:pPr>
              <w:spacing w:line="276"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7</w:t>
            </w:r>
          </w:p>
        </w:tc>
        <w:tc>
          <w:tcPr>
            <w:tcW w:w="2682" w:type="dxa"/>
            <w:noWrap w:val="0"/>
            <w:vAlign w:val="center"/>
          </w:tcPr>
          <w:p>
            <w:pPr>
              <w:spacing w:line="276" w:lineRule="auto"/>
              <w:jc w:val="both"/>
              <w:rPr>
                <w:rFonts w:ascii="宋体" w:hAnsi="宋体" w:cs="宋体"/>
                <w:color w:val="auto"/>
                <w:sz w:val="24"/>
                <w:szCs w:val="24"/>
                <w:highlight w:val="none"/>
              </w:rPr>
            </w:pPr>
            <w:r>
              <w:rPr>
                <w:rFonts w:hint="eastAsia" w:ascii="宋体" w:hAnsi="宋体" w:cs="宋体"/>
                <w:color w:val="auto"/>
                <w:sz w:val="24"/>
                <w:szCs w:val="24"/>
                <w:highlight w:val="none"/>
              </w:rPr>
              <w:t>其它</w:t>
            </w:r>
          </w:p>
        </w:tc>
        <w:tc>
          <w:tcPr>
            <w:tcW w:w="5990" w:type="dxa"/>
            <w:noWrap w:val="0"/>
            <w:vAlign w:val="center"/>
          </w:tcPr>
          <w:p>
            <w:pPr>
              <w:spacing w:line="276" w:lineRule="auto"/>
              <w:jc w:val="both"/>
              <w:rPr>
                <w:rFonts w:ascii="宋体" w:hAnsi="宋体" w:cs="宋体"/>
                <w:color w:val="auto"/>
                <w:sz w:val="24"/>
                <w:szCs w:val="24"/>
                <w:highlight w:val="none"/>
              </w:rPr>
            </w:pPr>
            <w:r>
              <w:rPr>
                <w:rFonts w:hint="eastAsia" w:ascii="宋体" w:hAnsi="宋体" w:cs="宋体"/>
                <w:color w:val="auto"/>
                <w:sz w:val="24"/>
                <w:szCs w:val="24"/>
                <w:highlight w:val="none"/>
              </w:rPr>
              <w:t>见下述内容</w:t>
            </w:r>
          </w:p>
        </w:tc>
      </w:tr>
    </w:tbl>
    <w:p>
      <w:pPr>
        <w:ind w:firstLine="482" w:firstLineChars="200"/>
        <w:rPr>
          <w:rFonts w:hint="eastAsia" w:ascii="宋体" w:hAnsi="宋体"/>
          <w:b/>
          <w:bCs/>
          <w:color w:val="auto"/>
          <w:sz w:val="24"/>
          <w:szCs w:val="24"/>
          <w:highlight w:val="none"/>
        </w:rPr>
      </w:pPr>
    </w:p>
    <w:p>
      <w:pPr>
        <w:ind w:firstLine="482" w:firstLineChars="200"/>
        <w:rPr>
          <w:rFonts w:ascii="宋体" w:hAnsi="宋体"/>
          <w:b/>
          <w:bCs/>
          <w:color w:val="auto"/>
          <w:sz w:val="24"/>
          <w:szCs w:val="24"/>
          <w:highlight w:val="none"/>
        </w:rPr>
      </w:pPr>
      <w:r>
        <w:rPr>
          <w:rFonts w:hint="eastAsia" w:ascii="宋体" w:hAnsi="宋体"/>
          <w:b/>
          <w:bCs/>
          <w:color w:val="auto"/>
          <w:sz w:val="24"/>
          <w:szCs w:val="24"/>
          <w:highlight w:val="none"/>
        </w:rPr>
        <w:t>2标本收取</w:t>
      </w:r>
    </w:p>
    <w:p>
      <w:pPr>
        <w:pStyle w:val="33"/>
        <w:numPr>
          <w:ilvl w:val="0"/>
          <w:numId w:val="6"/>
        </w:numPr>
        <w:spacing w:line="360" w:lineRule="auto"/>
        <w:ind w:firstLineChars="0"/>
        <w:rPr>
          <w:rFonts w:ascii="宋体" w:hAnsi="宋体" w:cs="宋体"/>
          <w:color w:val="auto"/>
          <w:sz w:val="24"/>
          <w:highlight w:val="none"/>
        </w:rPr>
      </w:pPr>
      <w:r>
        <w:rPr>
          <w:rFonts w:hint="eastAsia" w:ascii="宋体" w:hAnsi="宋体" w:cs="宋体"/>
          <w:color w:val="auto"/>
          <w:sz w:val="24"/>
          <w:highlight w:val="none"/>
        </w:rPr>
        <w:t>专业人员上门：经过专业培训的物流人员根据合同规定按时上门收取标本。或接医院通知</w:t>
      </w:r>
      <w:r>
        <w:rPr>
          <w:rFonts w:hint="eastAsia" w:ascii="宋体" w:hAnsi="宋体" w:cs="宋体"/>
          <w:b/>
          <w:bCs/>
          <w:color w:val="auto"/>
          <w:sz w:val="24"/>
          <w:highlight w:val="none"/>
        </w:rPr>
        <w:t>2个小时以</w:t>
      </w:r>
      <w:r>
        <w:rPr>
          <w:rFonts w:hint="eastAsia" w:ascii="宋体" w:hAnsi="宋体" w:cs="宋体"/>
          <w:color w:val="auto"/>
          <w:sz w:val="24"/>
          <w:highlight w:val="none"/>
        </w:rPr>
        <w:t>内上门收取（如遇节假日或者特殊天气不可抗拒等因素，提前和医院沟通标本收取时间）</w:t>
      </w:r>
    </w:p>
    <w:p>
      <w:pPr>
        <w:pStyle w:val="33"/>
        <w:numPr>
          <w:ilvl w:val="0"/>
          <w:numId w:val="6"/>
        </w:numPr>
        <w:spacing w:line="360" w:lineRule="auto"/>
        <w:ind w:firstLineChars="0"/>
        <w:rPr>
          <w:rFonts w:ascii="宋体" w:hAnsi="宋体" w:cs="宋体"/>
          <w:color w:val="auto"/>
          <w:sz w:val="24"/>
          <w:highlight w:val="none"/>
        </w:rPr>
      </w:pPr>
      <w:r>
        <w:rPr>
          <w:rFonts w:hint="eastAsia" w:ascii="宋体" w:hAnsi="宋体" w:cs="宋体"/>
          <w:color w:val="auto"/>
          <w:sz w:val="24"/>
          <w:highlight w:val="none"/>
        </w:rPr>
        <w:t>专用标本袋封装：运用专门设计和订制的带生物安全标识的双层标本袋封装标本，将申请单与标本有效隔离，满足标本鉴别和生物安全要求。</w:t>
      </w:r>
    </w:p>
    <w:p>
      <w:pPr>
        <w:pStyle w:val="33"/>
        <w:numPr>
          <w:ilvl w:val="0"/>
          <w:numId w:val="6"/>
        </w:numPr>
        <w:spacing w:line="360" w:lineRule="auto"/>
        <w:ind w:firstLineChars="0"/>
        <w:rPr>
          <w:rFonts w:ascii="宋体" w:hAnsi="宋体" w:cs="宋体"/>
          <w:color w:val="auto"/>
          <w:sz w:val="24"/>
          <w:highlight w:val="none"/>
        </w:rPr>
      </w:pPr>
      <w:r>
        <w:rPr>
          <w:rFonts w:hint="eastAsia" w:ascii="宋体" w:hAnsi="宋体" w:cs="宋体"/>
          <w:color w:val="auto"/>
          <w:sz w:val="24"/>
          <w:highlight w:val="none"/>
        </w:rPr>
        <w:t>唯一条码识别：每个标本采用唯一的条形码进行识别和区分，最大限度避免标本混淆。</w:t>
      </w:r>
    </w:p>
    <w:p>
      <w:pPr>
        <w:pStyle w:val="33"/>
        <w:numPr>
          <w:ilvl w:val="0"/>
          <w:numId w:val="6"/>
        </w:numPr>
        <w:spacing w:line="360" w:lineRule="auto"/>
        <w:ind w:firstLineChars="0"/>
        <w:rPr>
          <w:rFonts w:ascii="宋体" w:hAnsi="宋体" w:cs="宋体"/>
          <w:color w:val="auto"/>
          <w:sz w:val="24"/>
          <w:highlight w:val="none"/>
        </w:rPr>
      </w:pPr>
      <w:r>
        <w:rPr>
          <w:rFonts w:hint="eastAsia" w:ascii="宋体" w:hAnsi="宋体" w:cs="宋体"/>
          <w:color w:val="auto"/>
          <w:sz w:val="24"/>
          <w:highlight w:val="none"/>
        </w:rPr>
        <w:t>现场核验：</w:t>
      </w:r>
      <w:r>
        <w:rPr>
          <w:rFonts w:hint="eastAsia" w:ascii="宋体" w:hAnsi="宋体" w:cs="宋体"/>
          <w:color w:val="0000FF"/>
          <w:sz w:val="24"/>
          <w:highlight w:val="none"/>
          <w:lang w:val="en-US" w:eastAsia="zh-CN"/>
        </w:rPr>
        <w:t>标本收取人员与体检中心工作人员</w:t>
      </w:r>
      <w:r>
        <w:rPr>
          <w:rFonts w:hint="eastAsia" w:ascii="宋体" w:hAnsi="宋体" w:cs="宋体"/>
          <w:color w:val="0000FF"/>
          <w:sz w:val="24"/>
          <w:highlight w:val="none"/>
        </w:rPr>
        <w:t>现场核对和检查标本，当发现标本存在质量问题时，及时与临床反馈，不合格标本发出书面通知给医院。</w:t>
      </w:r>
    </w:p>
    <w:p>
      <w:pPr>
        <w:pStyle w:val="23"/>
        <w:spacing w:before="156" w:beforeLines="50" w:line="360" w:lineRule="auto"/>
        <w:ind w:firstLine="482"/>
        <w:rPr>
          <w:rFonts w:ascii="宋体" w:hAnsi="宋体" w:cs="宋体"/>
          <w:b/>
          <w:bCs/>
          <w:color w:val="auto"/>
          <w:sz w:val="24"/>
          <w:szCs w:val="24"/>
          <w:highlight w:val="none"/>
        </w:rPr>
      </w:pPr>
      <w:r>
        <w:rPr>
          <w:rFonts w:hint="eastAsia" w:ascii="宋体" w:hAnsi="宋体" w:cs="宋体"/>
          <w:b/>
          <w:bCs/>
          <w:color w:val="auto"/>
          <w:sz w:val="24"/>
          <w:szCs w:val="24"/>
          <w:highlight w:val="none"/>
        </w:rPr>
        <w:t>3报告单发放</w:t>
      </w:r>
    </w:p>
    <w:p>
      <w:pPr>
        <w:pStyle w:val="23"/>
        <w:numPr>
          <w:ilvl w:val="0"/>
          <w:numId w:val="7"/>
        </w:numPr>
        <w:spacing w:line="360" w:lineRule="auto"/>
        <w:ind w:firstLineChars="0"/>
        <w:rPr>
          <w:rFonts w:ascii="宋体" w:hAnsi="宋体" w:cs="宋体"/>
          <w:color w:val="auto"/>
          <w:sz w:val="24"/>
          <w:szCs w:val="24"/>
          <w:highlight w:val="none"/>
        </w:rPr>
      </w:pPr>
      <w:r>
        <w:rPr>
          <w:rFonts w:hint="eastAsia" w:ascii="宋体" w:hAnsi="宋体" w:cs="宋体"/>
          <w:color w:val="auto"/>
          <w:sz w:val="24"/>
          <w:szCs w:val="24"/>
          <w:highlight w:val="none"/>
        </w:rPr>
        <w:t>外勤服务人员将彩色纸质报告单直接送到相关科室。</w:t>
      </w:r>
    </w:p>
    <w:p>
      <w:pPr>
        <w:pStyle w:val="23"/>
        <w:spacing w:before="156" w:beforeLines="50" w:line="360" w:lineRule="auto"/>
        <w:ind w:firstLine="472" w:firstLineChars="196"/>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4 合作期间遇到协议没有涉及问题双方可以协商，另行补充协议。</w:t>
      </w:r>
    </w:p>
    <w:p>
      <w:pPr>
        <w:numPr>
          <w:ilvl w:val="0"/>
          <w:numId w:val="0"/>
        </w:numPr>
        <w:rPr>
          <w:rFonts w:hint="eastAsia"/>
          <w:color w:val="auto"/>
          <w:highlight w:val="none"/>
        </w:rPr>
      </w:pPr>
    </w:p>
    <w:p>
      <w:pPr>
        <w:pStyle w:val="14"/>
        <w:spacing w:before="0" w:beforeAutospacing="0" w:after="0" w:afterAutospacing="0" w:line="400" w:lineRule="exact"/>
        <w:rPr>
          <w:rFonts w:hint="eastAsia" w:eastAsia="宋体"/>
          <w:b/>
          <w:color w:val="auto"/>
          <w:highlight w:val="none"/>
          <w:lang w:eastAsia="zh-CN"/>
        </w:rPr>
      </w:pPr>
      <w:r>
        <w:rPr>
          <w:rFonts w:hint="eastAsia"/>
          <w:b/>
          <w:color w:val="auto"/>
          <w:highlight w:val="none"/>
          <w:lang w:val="en-US" w:eastAsia="zh-CN"/>
        </w:rPr>
        <w:t>四</w:t>
      </w:r>
      <w:r>
        <w:rPr>
          <w:rFonts w:hint="eastAsia"/>
          <w:b/>
          <w:color w:val="auto"/>
          <w:highlight w:val="none"/>
        </w:rPr>
        <w:t>、</w:t>
      </w:r>
      <w:r>
        <w:rPr>
          <w:rFonts w:hint="eastAsia"/>
          <w:b/>
          <w:color w:val="auto"/>
          <w:highlight w:val="none"/>
          <w:lang w:eastAsia="zh-CN"/>
        </w:rPr>
        <w:t>建议评标办法</w:t>
      </w:r>
    </w:p>
    <w:tbl>
      <w:tblPr>
        <w:tblStyle w:val="16"/>
        <w:tblW w:w="98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1809"/>
        <w:gridCol w:w="5453"/>
        <w:gridCol w:w="1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8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eastAsia="宋体" w:cs="宋体"/>
                <w:b/>
                <w:bCs/>
                <w:color w:val="auto"/>
                <w:sz w:val="24"/>
                <w:szCs w:val="24"/>
                <w:highlight w:val="none"/>
              </w:rPr>
            </w:pPr>
            <w:r>
              <w:rPr>
                <w:rFonts w:hint="eastAsia" w:ascii="宋体" w:hAnsi="宋体" w:eastAsia="宋体" w:cs="Times New Roman"/>
                <w:b/>
                <w:bCs/>
                <w:color w:val="auto"/>
                <w:sz w:val="24"/>
                <w:szCs w:val="24"/>
                <w:highlight w:val="none"/>
              </w:rPr>
              <w:t>序号</w:t>
            </w:r>
          </w:p>
        </w:tc>
        <w:tc>
          <w:tcPr>
            <w:tcW w:w="180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评分内容</w:t>
            </w:r>
          </w:p>
        </w:tc>
        <w:tc>
          <w:tcPr>
            <w:tcW w:w="545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指标描述</w:t>
            </w:r>
          </w:p>
        </w:tc>
        <w:tc>
          <w:tcPr>
            <w:tcW w:w="181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820" w:type="dxa"/>
            <w:tcBorders>
              <w:top w:val="single" w:color="auto" w:sz="4" w:space="0"/>
              <w:left w:val="single" w:color="auto" w:sz="4" w:space="0"/>
              <w:right w:val="single" w:color="auto" w:sz="4" w:space="0"/>
            </w:tcBorders>
            <w:noWrap w:val="0"/>
            <w:vAlign w:val="center"/>
          </w:tcPr>
          <w:p>
            <w:pPr>
              <w:spacing w:line="360" w:lineRule="auto"/>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w:t>
            </w:r>
          </w:p>
        </w:tc>
        <w:tc>
          <w:tcPr>
            <w:tcW w:w="180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检验、病理资质</w:t>
            </w:r>
          </w:p>
        </w:tc>
        <w:tc>
          <w:tcPr>
            <w:tcW w:w="5453" w:type="dxa"/>
            <w:tcBorders>
              <w:top w:val="single" w:color="auto" w:sz="4" w:space="0"/>
              <w:left w:val="single" w:color="auto" w:sz="4" w:space="0"/>
              <w:bottom w:val="single" w:color="auto" w:sz="4" w:space="0"/>
              <w:right w:val="single" w:color="auto" w:sz="4" w:space="0"/>
            </w:tcBorders>
            <w:noWrap w:val="0"/>
            <w:vAlign w:val="center"/>
          </w:tcPr>
          <w:p>
            <w:pPr>
              <w:pStyle w:val="33"/>
              <w:numPr>
                <w:ilvl w:val="0"/>
                <w:numId w:val="0"/>
              </w:numPr>
              <w:spacing w:line="360" w:lineRule="auto"/>
              <w:ind w:leftChars="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 xml:space="preserve">1、投标人提供独立医学实验室资质证明文件,得1分；提供中国合格评定认可委员会颁发有效的ISO15189认可证书 ，得 5 分。不能提供者不得分。ISO15189认可领域包含临床微生物学的得1分。不能提供者不得分。 </w:t>
            </w:r>
          </w:p>
          <w:p>
            <w:pPr>
              <w:pStyle w:val="33"/>
              <w:numPr>
                <w:ilvl w:val="0"/>
                <w:numId w:val="0"/>
              </w:numPr>
              <w:spacing w:line="360" w:lineRule="auto"/>
              <w:ind w:leftChars="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2、投标人实验室通过病理 CAP 认证，得 2分，不能提供者不得分。</w:t>
            </w:r>
          </w:p>
          <w:p>
            <w:pPr>
              <w:pStyle w:val="33"/>
              <w:numPr>
                <w:ilvl w:val="0"/>
                <w:numId w:val="0"/>
              </w:numPr>
              <w:spacing w:line="360" w:lineRule="auto"/>
              <w:ind w:leftChars="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3、投标人获得国家卫计委颁布的肿瘤诊断与治疗项目高通量基因测序技术临床应用试点单位，得  2分，不能提供者不得分。</w:t>
            </w:r>
          </w:p>
          <w:p>
            <w:pPr>
              <w:pStyle w:val="33"/>
              <w:numPr>
                <w:ilvl w:val="0"/>
                <w:numId w:val="0"/>
              </w:numPr>
              <w:spacing w:line="360" w:lineRule="auto"/>
              <w:ind w:leftChars="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4、投标人为国家基因检测技术应用示范中心牵头建设单位得 2 分，其他协作单位得 1 分，不能提供者不得分。</w:t>
            </w:r>
          </w:p>
          <w:p>
            <w:pPr>
              <w:pStyle w:val="33"/>
              <w:numPr>
                <w:ilvl w:val="0"/>
                <w:numId w:val="0"/>
              </w:numPr>
              <w:spacing w:line="360" w:lineRule="auto"/>
              <w:ind w:leftChars="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5.通过省临床检验中心的临床基因扩增检验实验室技术审核合格证书且通过项目类别二类及以上的得2分，二类以下、没有的不得分。</w:t>
            </w:r>
          </w:p>
        </w:tc>
        <w:tc>
          <w:tcPr>
            <w:tcW w:w="1816" w:type="dxa"/>
            <w:tcBorders>
              <w:top w:val="single" w:color="auto" w:sz="4" w:space="0"/>
              <w:left w:val="single" w:color="auto" w:sz="4" w:space="0"/>
              <w:bottom w:val="single" w:color="auto" w:sz="4" w:space="0"/>
              <w:right w:val="single" w:color="auto" w:sz="4" w:space="0"/>
            </w:tcBorders>
            <w:noWrap w:val="0"/>
            <w:vAlign w:val="center"/>
          </w:tcPr>
          <w:p>
            <w:pPr>
              <w:pStyle w:val="33"/>
              <w:numPr>
                <w:ilvl w:val="0"/>
                <w:numId w:val="0"/>
              </w:numPr>
              <w:spacing w:line="360" w:lineRule="auto"/>
              <w:ind w:leftChars="0"/>
              <w:rPr>
                <w:rFonts w:hint="eastAsia" w:ascii="宋体" w:hAnsi="宋体" w:eastAsia="宋体" w:cs="宋体"/>
                <w:color w:val="auto"/>
                <w:sz w:val="24"/>
                <w:highlight w:val="none"/>
              </w:rPr>
            </w:pPr>
            <w:r>
              <w:rPr>
                <w:rFonts w:hint="eastAsia" w:ascii="宋体" w:hAnsi="宋体" w:eastAsia="宋体" w:cs="宋体"/>
                <w:color w:val="auto"/>
                <w:sz w:val="24"/>
                <w:highlight w:val="none"/>
              </w:rPr>
              <w:t>0-</w:t>
            </w:r>
            <w:r>
              <w:rPr>
                <w:rFonts w:hint="eastAsia" w:ascii="宋体" w:hAnsi="宋体" w:eastAsia="宋体" w:cs="宋体"/>
                <w:color w:val="auto"/>
                <w:sz w:val="24"/>
                <w:highlight w:val="none"/>
                <w:lang w:val="en-US" w:eastAsia="zh-CN"/>
              </w:rPr>
              <w:t xml:space="preserve">15 </w:t>
            </w:r>
            <w:r>
              <w:rPr>
                <w:rFonts w:hint="eastAsia" w:ascii="宋体" w:hAnsi="宋体" w:eastAsia="宋体" w:cs="宋体"/>
                <w:color w:val="auto"/>
                <w:sz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1" w:hRule="atLeast"/>
          <w:jc w:val="center"/>
        </w:trPr>
        <w:tc>
          <w:tcPr>
            <w:tcW w:w="820" w:type="dxa"/>
            <w:tcBorders>
              <w:left w:val="single" w:color="auto" w:sz="4" w:space="0"/>
              <w:right w:val="single" w:color="auto" w:sz="4" w:space="0"/>
            </w:tcBorders>
            <w:noWrap w:val="0"/>
            <w:vAlign w:val="center"/>
          </w:tcPr>
          <w:p>
            <w:pPr>
              <w:spacing w:line="360" w:lineRule="auto"/>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w:t>
            </w:r>
          </w:p>
        </w:tc>
        <w:tc>
          <w:tcPr>
            <w:tcW w:w="180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eastAsia="宋体" w:cs="宋体"/>
                <w:bCs/>
                <w:color w:val="auto"/>
                <w:sz w:val="24"/>
                <w:szCs w:val="24"/>
                <w:highlight w:val="none"/>
              </w:rPr>
            </w:pPr>
            <w:r>
              <w:rPr>
                <w:rFonts w:hint="eastAsia" w:ascii="宋体" w:hAnsi="宋体" w:eastAsia="宋体" w:cs="Times New Roman"/>
                <w:bCs/>
                <w:color w:val="auto"/>
                <w:sz w:val="24"/>
                <w:szCs w:val="24"/>
                <w:highlight w:val="none"/>
              </w:rPr>
              <w:t>业绩</w:t>
            </w:r>
          </w:p>
        </w:tc>
        <w:tc>
          <w:tcPr>
            <w:tcW w:w="5453" w:type="dxa"/>
            <w:tcBorders>
              <w:top w:val="single" w:color="auto" w:sz="4" w:space="0"/>
              <w:left w:val="single" w:color="auto" w:sz="4" w:space="0"/>
              <w:bottom w:val="single" w:color="auto" w:sz="4" w:space="0"/>
              <w:right w:val="single" w:color="auto" w:sz="4" w:space="0"/>
            </w:tcBorders>
            <w:noWrap w:val="0"/>
            <w:vAlign w:val="center"/>
          </w:tcPr>
          <w:p>
            <w:pPr>
              <w:pStyle w:val="33"/>
              <w:numPr>
                <w:ilvl w:val="0"/>
                <w:numId w:val="0"/>
              </w:numPr>
              <w:spacing w:line="360" w:lineRule="auto"/>
              <w:ind w:leftChars="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 xml:space="preserve">评标委员会成员根据投标人在三级及以上医院合作的病理 、检验服务业绩（2020年1月1日至今，以合同签订时间为准）情况进行打分,每提供一份业绩得4 分，满分8 分。须在投标文件中提供业绩合同扫描件和医院等级证明，否则不得分。 </w:t>
            </w:r>
          </w:p>
          <w:p>
            <w:pPr>
              <w:pStyle w:val="33"/>
              <w:numPr>
                <w:ilvl w:val="0"/>
                <w:numId w:val="0"/>
              </w:numPr>
              <w:spacing w:line="360" w:lineRule="auto"/>
              <w:ind w:leftChars="0"/>
              <w:rPr>
                <w:rFonts w:hint="eastAsia" w:ascii="宋体" w:hAnsi="宋体" w:eastAsia="宋体" w:cs="宋体"/>
                <w:color w:val="auto"/>
                <w:sz w:val="24"/>
                <w:highlight w:val="none"/>
              </w:rPr>
            </w:pPr>
            <w:r>
              <w:rPr>
                <w:rFonts w:hint="eastAsia" w:ascii="宋体" w:hAnsi="宋体" w:eastAsia="宋体" w:cs="宋体"/>
                <w:color w:val="auto"/>
                <w:sz w:val="24"/>
                <w:highlight w:val="none"/>
              </w:rPr>
              <w:t>在中标后，招标人有权利视核实结果的真实与否决定是否取消中标资格。</w:t>
            </w:r>
          </w:p>
        </w:tc>
        <w:tc>
          <w:tcPr>
            <w:tcW w:w="1816" w:type="dxa"/>
            <w:tcBorders>
              <w:top w:val="single" w:color="auto" w:sz="4" w:space="0"/>
              <w:left w:val="single" w:color="auto" w:sz="4" w:space="0"/>
              <w:bottom w:val="single" w:color="auto" w:sz="4" w:space="0"/>
              <w:right w:val="single" w:color="auto" w:sz="4" w:space="0"/>
            </w:tcBorders>
            <w:noWrap w:val="0"/>
            <w:vAlign w:val="center"/>
          </w:tcPr>
          <w:p>
            <w:pPr>
              <w:pStyle w:val="33"/>
              <w:numPr>
                <w:ilvl w:val="0"/>
                <w:numId w:val="0"/>
              </w:numPr>
              <w:spacing w:line="360" w:lineRule="auto"/>
              <w:ind w:leftChars="0"/>
              <w:rPr>
                <w:rFonts w:hint="eastAsia" w:ascii="宋体" w:hAnsi="宋体" w:eastAsia="宋体" w:cs="宋体"/>
                <w:color w:val="auto"/>
                <w:sz w:val="24"/>
                <w:highlight w:val="none"/>
              </w:rPr>
            </w:pPr>
            <w:r>
              <w:rPr>
                <w:rFonts w:hint="eastAsia" w:ascii="宋体" w:hAnsi="宋体" w:eastAsia="宋体" w:cs="宋体"/>
                <w:color w:val="auto"/>
                <w:sz w:val="24"/>
                <w:highlight w:val="none"/>
              </w:rPr>
              <w:t>0-</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820" w:type="dxa"/>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3</w:t>
            </w:r>
          </w:p>
        </w:tc>
        <w:tc>
          <w:tcPr>
            <w:tcW w:w="180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本地化</w:t>
            </w:r>
            <w:r>
              <w:rPr>
                <w:rFonts w:hint="eastAsia" w:ascii="宋体" w:hAnsi="宋体" w:eastAsia="宋体" w:cs="宋体"/>
                <w:color w:val="auto"/>
                <w:sz w:val="24"/>
                <w:szCs w:val="24"/>
                <w:highlight w:val="none"/>
              </w:rPr>
              <w:t>服务能力</w:t>
            </w:r>
          </w:p>
        </w:tc>
        <w:tc>
          <w:tcPr>
            <w:tcW w:w="5453" w:type="dxa"/>
            <w:tcBorders>
              <w:top w:val="single" w:color="auto" w:sz="4" w:space="0"/>
              <w:left w:val="single" w:color="auto" w:sz="4" w:space="0"/>
              <w:bottom w:val="single" w:color="auto" w:sz="4" w:space="0"/>
              <w:right w:val="single" w:color="auto" w:sz="4" w:space="0"/>
            </w:tcBorders>
            <w:noWrap w:val="0"/>
            <w:vAlign w:val="center"/>
          </w:tcPr>
          <w:p>
            <w:pPr>
              <w:pStyle w:val="33"/>
              <w:numPr>
                <w:ilvl w:val="0"/>
                <w:numId w:val="0"/>
              </w:numPr>
              <w:spacing w:line="360" w:lineRule="auto"/>
              <w:ind w:leftChars="0"/>
              <w:rPr>
                <w:rFonts w:hint="eastAsia" w:ascii="宋体" w:hAnsi="宋体" w:eastAsia="宋体" w:cs="宋体"/>
                <w:color w:val="auto"/>
                <w:sz w:val="24"/>
                <w:highlight w:val="none"/>
              </w:rPr>
            </w:pPr>
            <w:r>
              <w:rPr>
                <w:rFonts w:hint="eastAsia" w:ascii="宋体" w:hAnsi="宋体" w:eastAsia="宋体" w:cs="宋体"/>
                <w:color w:val="auto"/>
                <w:sz w:val="24"/>
                <w:highlight w:val="none"/>
              </w:rPr>
              <w:t>在安徽省内已建有成熟实验室的投标人得</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分，不满足者得0分。(需提供相关证明材料)。</w:t>
            </w:r>
          </w:p>
        </w:tc>
        <w:tc>
          <w:tcPr>
            <w:tcW w:w="1816" w:type="dxa"/>
            <w:tcBorders>
              <w:top w:val="single" w:color="auto" w:sz="4" w:space="0"/>
              <w:left w:val="single" w:color="auto" w:sz="4" w:space="0"/>
              <w:bottom w:val="single" w:color="auto" w:sz="4" w:space="0"/>
              <w:right w:val="single" w:color="auto" w:sz="4" w:space="0"/>
            </w:tcBorders>
            <w:noWrap w:val="0"/>
            <w:vAlign w:val="center"/>
          </w:tcPr>
          <w:p>
            <w:pPr>
              <w:pStyle w:val="33"/>
              <w:numPr>
                <w:ilvl w:val="0"/>
                <w:numId w:val="0"/>
              </w:numPr>
              <w:spacing w:line="360" w:lineRule="auto"/>
              <w:ind w:leftChars="0"/>
              <w:rPr>
                <w:rFonts w:hint="eastAsia" w:ascii="宋体" w:hAnsi="宋体" w:eastAsia="宋体" w:cs="宋体"/>
                <w:color w:val="auto"/>
                <w:sz w:val="24"/>
                <w:highlight w:val="none"/>
              </w:rPr>
            </w:pPr>
            <w:r>
              <w:rPr>
                <w:rFonts w:hint="eastAsia" w:ascii="宋体" w:hAnsi="宋体" w:eastAsia="宋体" w:cs="宋体"/>
                <w:color w:val="auto"/>
                <w:sz w:val="24"/>
                <w:highlight w:val="none"/>
              </w:rPr>
              <w:t>0-</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jc w:val="center"/>
        </w:trPr>
        <w:tc>
          <w:tcPr>
            <w:tcW w:w="820" w:type="dxa"/>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4</w:t>
            </w:r>
          </w:p>
        </w:tc>
        <w:tc>
          <w:tcPr>
            <w:tcW w:w="180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服务质量管理</w:t>
            </w:r>
          </w:p>
        </w:tc>
        <w:tc>
          <w:tcPr>
            <w:tcW w:w="5453" w:type="dxa"/>
            <w:tcBorders>
              <w:top w:val="single" w:color="auto" w:sz="4" w:space="0"/>
              <w:left w:val="single" w:color="auto" w:sz="4" w:space="0"/>
              <w:bottom w:val="single" w:color="auto" w:sz="4" w:space="0"/>
              <w:right w:val="single" w:color="auto" w:sz="4" w:space="0"/>
            </w:tcBorders>
            <w:noWrap w:val="0"/>
            <w:vAlign w:val="center"/>
          </w:tcPr>
          <w:p>
            <w:pPr>
              <w:pStyle w:val="33"/>
              <w:numPr>
                <w:ilvl w:val="0"/>
                <w:numId w:val="0"/>
              </w:numPr>
              <w:spacing w:line="360" w:lineRule="auto"/>
              <w:ind w:leftChars="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评标委员会根据投标人提供</w:t>
            </w:r>
            <w:r>
              <w:rPr>
                <w:rFonts w:hint="eastAsia" w:ascii="宋体" w:hAnsi="宋体" w:eastAsia="宋体" w:cs="宋体"/>
                <w:color w:val="auto"/>
                <w:sz w:val="24"/>
                <w:highlight w:val="none"/>
                <w:lang w:val="en-US" w:eastAsia="zh-CN"/>
              </w:rPr>
              <w:t>本项目要求制定服务质量管理方案进行综合评审，</w:t>
            </w:r>
            <w:r>
              <w:rPr>
                <w:rFonts w:hint="eastAsia" w:ascii="宋体" w:hAnsi="宋体" w:eastAsia="宋体" w:cs="宋体"/>
                <w:color w:val="auto"/>
                <w:sz w:val="24"/>
                <w:highlight w:val="none"/>
              </w:rPr>
              <w:t>优得 10-7 分，良得6-3 分，一般得2-0 分</w:t>
            </w:r>
          </w:p>
        </w:tc>
        <w:tc>
          <w:tcPr>
            <w:tcW w:w="1816" w:type="dxa"/>
            <w:tcBorders>
              <w:top w:val="single" w:color="auto" w:sz="4" w:space="0"/>
              <w:left w:val="single" w:color="auto" w:sz="4" w:space="0"/>
              <w:bottom w:val="single" w:color="auto" w:sz="4" w:space="0"/>
              <w:right w:val="single" w:color="auto" w:sz="4" w:space="0"/>
            </w:tcBorders>
            <w:noWrap w:val="0"/>
            <w:vAlign w:val="center"/>
          </w:tcPr>
          <w:p>
            <w:pPr>
              <w:pStyle w:val="33"/>
              <w:numPr>
                <w:ilvl w:val="0"/>
                <w:numId w:val="0"/>
              </w:numPr>
              <w:spacing w:line="360" w:lineRule="auto"/>
              <w:ind w:leftChars="0"/>
              <w:rPr>
                <w:rFonts w:hint="eastAsia" w:ascii="宋体" w:hAnsi="宋体" w:eastAsia="宋体" w:cs="宋体"/>
                <w:color w:val="auto"/>
                <w:sz w:val="24"/>
                <w:highlight w:val="none"/>
              </w:rPr>
            </w:pPr>
            <w:r>
              <w:rPr>
                <w:rFonts w:hint="eastAsia" w:ascii="宋体" w:hAnsi="宋体" w:eastAsia="宋体" w:cs="宋体"/>
                <w:color w:val="auto"/>
                <w:sz w:val="24"/>
                <w:highlight w:val="none"/>
              </w:rPr>
              <w:t>0-1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jc w:val="center"/>
        </w:trPr>
        <w:tc>
          <w:tcPr>
            <w:tcW w:w="820" w:type="dxa"/>
            <w:tcBorders>
              <w:left w:val="single" w:color="auto" w:sz="4" w:space="0"/>
              <w:right w:val="single" w:color="auto" w:sz="4" w:space="0"/>
            </w:tcBorders>
            <w:noWrap w:val="0"/>
            <w:vAlign w:val="center"/>
          </w:tcPr>
          <w:p>
            <w:pPr>
              <w:spacing w:line="360" w:lineRule="auto"/>
              <w:jc w:val="center"/>
              <w:rPr>
                <w:rFonts w:hint="default"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5</w:t>
            </w:r>
          </w:p>
        </w:tc>
        <w:tc>
          <w:tcPr>
            <w:tcW w:w="180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室间质量评价</w:t>
            </w:r>
          </w:p>
        </w:tc>
        <w:tc>
          <w:tcPr>
            <w:tcW w:w="5453" w:type="dxa"/>
            <w:tcBorders>
              <w:top w:val="single" w:color="auto" w:sz="4" w:space="0"/>
              <w:left w:val="single" w:color="auto" w:sz="4" w:space="0"/>
              <w:bottom w:val="single" w:color="auto" w:sz="4" w:space="0"/>
              <w:right w:val="single" w:color="auto" w:sz="4" w:space="0"/>
            </w:tcBorders>
            <w:noWrap w:val="0"/>
            <w:vAlign w:val="center"/>
          </w:tcPr>
          <w:p>
            <w:pPr>
              <w:pStyle w:val="33"/>
              <w:numPr>
                <w:ilvl w:val="0"/>
                <w:numId w:val="0"/>
              </w:numPr>
              <w:spacing w:line="360" w:lineRule="auto"/>
              <w:ind w:leftChars="0"/>
              <w:rPr>
                <w:rFonts w:hint="eastAsia" w:ascii="宋体" w:hAnsi="宋体" w:eastAsia="宋体" w:cs="宋体"/>
                <w:color w:val="auto"/>
                <w:sz w:val="24"/>
                <w:highlight w:val="none"/>
              </w:rPr>
            </w:pPr>
            <w:r>
              <w:rPr>
                <w:rFonts w:hint="eastAsia" w:ascii="宋体" w:hAnsi="宋体" w:eastAsia="宋体" w:cs="宋体"/>
                <w:color w:val="auto"/>
                <w:sz w:val="24"/>
                <w:highlight w:val="none"/>
              </w:rPr>
              <w:t>提供质量控制标准及方案及近3年室间质评材料进行综合评审，优得 10-7 分，良得6-3 分，一般得2-0 分。</w:t>
            </w:r>
          </w:p>
        </w:tc>
        <w:tc>
          <w:tcPr>
            <w:tcW w:w="1816" w:type="dxa"/>
            <w:tcBorders>
              <w:top w:val="single" w:color="auto" w:sz="4" w:space="0"/>
              <w:left w:val="single" w:color="auto" w:sz="4" w:space="0"/>
              <w:bottom w:val="single" w:color="auto" w:sz="4" w:space="0"/>
              <w:right w:val="single" w:color="auto" w:sz="4" w:space="0"/>
            </w:tcBorders>
            <w:noWrap w:val="0"/>
            <w:vAlign w:val="center"/>
          </w:tcPr>
          <w:p>
            <w:pPr>
              <w:pStyle w:val="33"/>
              <w:numPr>
                <w:ilvl w:val="0"/>
                <w:numId w:val="0"/>
              </w:numPr>
              <w:spacing w:line="360" w:lineRule="auto"/>
              <w:ind w:leftChars="0"/>
              <w:rPr>
                <w:rFonts w:hint="eastAsia" w:ascii="宋体" w:hAnsi="宋体" w:eastAsia="宋体" w:cs="宋体"/>
                <w:color w:val="auto"/>
                <w:sz w:val="24"/>
                <w:highlight w:val="none"/>
              </w:rPr>
            </w:pPr>
            <w:r>
              <w:rPr>
                <w:rFonts w:hint="eastAsia" w:ascii="宋体" w:hAnsi="宋体" w:eastAsia="宋体" w:cs="宋体"/>
                <w:color w:val="auto"/>
                <w:sz w:val="24"/>
                <w:highlight w:val="none"/>
              </w:rPr>
              <w:t>0-10分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5" w:hRule="atLeast"/>
          <w:jc w:val="center"/>
        </w:trPr>
        <w:tc>
          <w:tcPr>
            <w:tcW w:w="820" w:type="dxa"/>
            <w:tcBorders>
              <w:left w:val="single" w:color="auto" w:sz="4" w:space="0"/>
              <w:right w:val="single" w:color="auto" w:sz="4" w:space="0"/>
            </w:tcBorders>
            <w:noWrap w:val="0"/>
            <w:vAlign w:val="center"/>
          </w:tcPr>
          <w:p>
            <w:pPr>
              <w:spacing w:line="360" w:lineRule="auto"/>
              <w:jc w:val="center"/>
              <w:rPr>
                <w:rFonts w:hint="default"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6</w:t>
            </w:r>
          </w:p>
        </w:tc>
        <w:tc>
          <w:tcPr>
            <w:tcW w:w="180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技术服务需求响应情况</w:t>
            </w:r>
          </w:p>
        </w:tc>
        <w:tc>
          <w:tcPr>
            <w:tcW w:w="5453" w:type="dxa"/>
            <w:tcBorders>
              <w:top w:val="single" w:color="auto" w:sz="4" w:space="0"/>
              <w:left w:val="single" w:color="auto" w:sz="4" w:space="0"/>
              <w:bottom w:val="single" w:color="auto" w:sz="4" w:space="0"/>
              <w:right w:val="single" w:color="auto" w:sz="4" w:space="0"/>
            </w:tcBorders>
            <w:noWrap w:val="0"/>
            <w:vAlign w:val="center"/>
          </w:tcPr>
          <w:p>
            <w:pPr>
              <w:pStyle w:val="33"/>
              <w:numPr>
                <w:ilvl w:val="0"/>
                <w:numId w:val="0"/>
              </w:numPr>
              <w:spacing w:line="360" w:lineRule="auto"/>
              <w:ind w:leftChars="0"/>
              <w:rPr>
                <w:rFonts w:hint="eastAsia" w:ascii="宋体" w:hAnsi="宋体" w:eastAsia="宋体" w:cs="宋体"/>
                <w:color w:val="auto"/>
                <w:sz w:val="24"/>
                <w:highlight w:val="none"/>
              </w:rPr>
            </w:pPr>
            <w:r>
              <w:rPr>
                <w:rFonts w:hint="eastAsia" w:ascii="宋体" w:hAnsi="宋体" w:eastAsia="宋体" w:cs="宋体"/>
                <w:color w:val="auto"/>
                <w:sz w:val="24"/>
                <w:highlight w:val="none"/>
              </w:rPr>
              <w:t>评审小组根据投标人技术服务需求的响应情况进行评分，投标人无条件完全响应第三章采购需求</w:t>
            </w:r>
            <w:r>
              <w:rPr>
                <w:rFonts w:hint="eastAsia" w:ascii="宋体" w:hAnsi="宋体" w:eastAsia="宋体" w:cs="宋体"/>
                <w:color w:val="auto"/>
                <w:sz w:val="24"/>
                <w:highlight w:val="none"/>
                <w:lang w:val="en-US" w:eastAsia="zh-CN"/>
              </w:rPr>
              <w:t>中</w:t>
            </w:r>
            <w:r>
              <w:rPr>
                <w:rFonts w:hint="eastAsia" w:ascii="宋体" w:hAnsi="宋体" w:eastAsia="宋体" w:cs="宋体"/>
                <w:color w:val="auto"/>
                <w:sz w:val="24"/>
                <w:highlight w:val="none"/>
              </w:rPr>
              <w:t>所有服务条款的，得</w:t>
            </w:r>
            <w:r>
              <w:rPr>
                <w:rFonts w:hint="eastAsia" w:ascii="宋体" w:hAnsi="宋体" w:eastAsia="宋体" w:cs="宋体"/>
                <w:color w:val="auto"/>
                <w:sz w:val="24"/>
                <w:highlight w:val="none"/>
                <w:lang w:val="en-US" w:eastAsia="zh-CN"/>
              </w:rPr>
              <w:t xml:space="preserve">15 </w:t>
            </w:r>
            <w:r>
              <w:rPr>
                <w:rFonts w:hint="eastAsia" w:ascii="宋体" w:hAnsi="宋体" w:eastAsia="宋体" w:cs="宋体"/>
                <w:color w:val="auto"/>
                <w:sz w:val="24"/>
                <w:highlight w:val="none"/>
              </w:rPr>
              <w:t>分，每负偏离一项扣</w:t>
            </w:r>
            <w:r>
              <w:rPr>
                <w:rFonts w:hint="eastAsia" w:ascii="宋体" w:hAnsi="宋体" w:eastAsia="宋体" w:cs="宋体"/>
                <w:color w:val="auto"/>
                <w:sz w:val="24"/>
                <w:highlight w:val="none"/>
                <w:lang w:val="en-US" w:eastAsia="zh-CN"/>
              </w:rPr>
              <w:t xml:space="preserve">5 </w:t>
            </w:r>
            <w:r>
              <w:rPr>
                <w:rFonts w:hint="eastAsia" w:ascii="宋体" w:hAnsi="宋体" w:eastAsia="宋体" w:cs="宋体"/>
                <w:color w:val="auto"/>
                <w:sz w:val="24"/>
                <w:highlight w:val="none"/>
              </w:rPr>
              <w:t>分，扣完为止。</w:t>
            </w:r>
          </w:p>
        </w:tc>
        <w:tc>
          <w:tcPr>
            <w:tcW w:w="1816" w:type="dxa"/>
            <w:tcBorders>
              <w:top w:val="single" w:color="auto" w:sz="4" w:space="0"/>
              <w:left w:val="single" w:color="auto" w:sz="4" w:space="0"/>
              <w:bottom w:val="single" w:color="auto" w:sz="4" w:space="0"/>
              <w:right w:val="single" w:color="auto" w:sz="4" w:space="0"/>
            </w:tcBorders>
            <w:noWrap w:val="0"/>
            <w:vAlign w:val="center"/>
          </w:tcPr>
          <w:p>
            <w:pPr>
              <w:pStyle w:val="33"/>
              <w:numPr>
                <w:ilvl w:val="0"/>
                <w:numId w:val="0"/>
              </w:numPr>
              <w:spacing w:line="360" w:lineRule="auto"/>
              <w:ind w:leftChars="0"/>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 xml:space="preserve">0-15分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2" w:hRule="atLeast"/>
          <w:jc w:val="center"/>
        </w:trPr>
        <w:tc>
          <w:tcPr>
            <w:tcW w:w="820" w:type="dxa"/>
            <w:tcBorders>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7</w:t>
            </w:r>
          </w:p>
        </w:tc>
        <w:tc>
          <w:tcPr>
            <w:tcW w:w="180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价格分</w:t>
            </w:r>
          </w:p>
        </w:tc>
        <w:tc>
          <w:tcPr>
            <w:tcW w:w="7269" w:type="dxa"/>
            <w:gridSpan w:val="2"/>
            <w:tcBorders>
              <w:top w:val="single" w:color="auto" w:sz="4" w:space="0"/>
              <w:left w:val="single" w:color="auto" w:sz="4" w:space="0"/>
              <w:bottom w:val="single" w:color="auto" w:sz="4" w:space="0"/>
              <w:right w:val="single" w:color="auto" w:sz="4" w:space="0"/>
            </w:tcBorders>
            <w:noWrap w:val="0"/>
            <w:vAlign w:val="center"/>
          </w:tcPr>
          <w:p>
            <w:pPr>
              <w:pStyle w:val="33"/>
              <w:numPr>
                <w:ilvl w:val="0"/>
                <w:numId w:val="0"/>
              </w:numPr>
              <w:spacing w:line="360" w:lineRule="auto"/>
              <w:ind w:leftChars="0"/>
              <w:rPr>
                <w:rFonts w:hint="eastAsia" w:ascii="宋体" w:hAnsi="宋体" w:eastAsia="宋体" w:cs="宋体"/>
                <w:color w:val="auto"/>
                <w:sz w:val="24"/>
                <w:highlight w:val="none"/>
              </w:rPr>
            </w:pPr>
            <w:r>
              <w:rPr>
                <w:rFonts w:hint="eastAsia" w:ascii="宋体" w:hAnsi="宋体" w:eastAsia="宋体" w:cs="宋体"/>
                <w:color w:val="auto"/>
                <w:sz w:val="24"/>
                <w:highlight w:val="none"/>
              </w:rPr>
              <w:t>价格通过初步评审且投标费率最低的投标费率为评标基准费率，其商务得分为满分（</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0分）。 其他投标人的商务得分统一按照下列公式计算：投标人得分=（评标基准费率/投标费率）×</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0；</w:t>
            </w:r>
          </w:p>
          <w:p>
            <w:pPr>
              <w:pStyle w:val="33"/>
              <w:numPr>
                <w:ilvl w:val="0"/>
                <w:numId w:val="0"/>
              </w:numPr>
              <w:spacing w:line="360" w:lineRule="auto"/>
              <w:ind w:leftChars="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注：计算结果保留小数点后两位，第三位四舍五入。 </w:t>
            </w:r>
          </w:p>
          <w:p>
            <w:pPr>
              <w:pStyle w:val="33"/>
              <w:numPr>
                <w:ilvl w:val="0"/>
                <w:numId w:val="0"/>
              </w:numPr>
              <w:spacing w:line="360" w:lineRule="auto"/>
              <w:ind w:leftChars="0"/>
              <w:rPr>
                <w:rFonts w:hint="eastAsia" w:ascii="宋体" w:hAnsi="宋体" w:eastAsia="宋体" w:cs="宋体"/>
                <w:color w:val="auto"/>
                <w:sz w:val="24"/>
                <w:highlight w:val="none"/>
              </w:rPr>
            </w:pPr>
            <w:r>
              <w:rPr>
                <w:rFonts w:hint="eastAsia" w:ascii="宋体" w:hAnsi="宋体" w:eastAsia="宋体" w:cs="宋体"/>
                <w:color w:val="auto"/>
                <w:sz w:val="24"/>
                <w:highlight w:val="none"/>
              </w:rPr>
              <w:t>注：若投标费率超出控制费率的，作为无效投标处理。未通过初步评审的投标人 报价不列入计算</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 xml:space="preserve"> </w:t>
            </w:r>
          </w:p>
        </w:tc>
      </w:tr>
    </w:tbl>
    <w:p>
      <w:pPr>
        <w:jc w:val="both"/>
        <w:rPr>
          <w:rFonts w:hint="default" w:hAnsi="宋体" w:eastAsia="宋体"/>
          <w:color w:val="auto"/>
          <w:sz w:val="44"/>
          <w:highlight w:val="none"/>
          <w:lang w:val="en-US" w:eastAsia="zh-CN"/>
        </w:rPr>
      </w:pPr>
    </w:p>
    <w:p>
      <w:pPr>
        <w:rPr>
          <w:rFonts w:hint="eastAsia" w:ascii="新宋体" w:hAnsi="新宋体" w:eastAsia="新宋体" w:cs="方正小标宋简体"/>
          <w:b/>
          <w:sz w:val="32"/>
          <w:szCs w:val="36"/>
          <w:highlight w:val="none"/>
          <w:lang w:val="en-US" w:eastAsia="zh-CN"/>
        </w:rPr>
      </w:pPr>
      <w:r>
        <w:rPr>
          <w:rFonts w:hint="eastAsia" w:ascii="新宋体" w:hAnsi="新宋体" w:eastAsia="新宋体" w:cs="方正小标宋简体"/>
          <w:b/>
          <w:sz w:val="32"/>
          <w:szCs w:val="36"/>
          <w:highlight w:val="none"/>
          <w:lang w:val="en-US" w:eastAsia="zh-CN"/>
        </w:rPr>
        <w:br w:type="page"/>
      </w:r>
    </w:p>
    <w:p>
      <w:pPr>
        <w:jc w:val="center"/>
        <w:rPr>
          <w:rFonts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t xml:space="preserve">蚌埠市第一人民医院体检常用检验病理外送服务采购项目采购意向及需求公示的反馈意见 </w:t>
      </w:r>
    </w:p>
    <w:p>
      <w:pPr>
        <w:rPr>
          <w:rFonts w:ascii="宋体" w:hAnsi="宋体" w:cs="宋体"/>
          <w:sz w:val="28"/>
          <w:szCs w:val="28"/>
          <w:highlight w:val="none"/>
        </w:rPr>
      </w:pPr>
      <w:r>
        <w:rPr>
          <w:rFonts w:hint="eastAsia"/>
          <w:sz w:val="28"/>
          <w:szCs w:val="28"/>
          <w:highlight w:val="none"/>
          <w:lang w:val="zh-CN"/>
        </w:rPr>
        <w:t>安徽省志成建设工程咨询股份有限公司</w:t>
      </w:r>
      <w:r>
        <w:rPr>
          <w:rFonts w:hint="eastAsia" w:ascii="宋体" w:hAnsi="宋体" w:cs="宋体"/>
          <w:sz w:val="28"/>
          <w:szCs w:val="28"/>
          <w:highlight w:val="none"/>
        </w:rPr>
        <w:t>：</w:t>
      </w:r>
    </w:p>
    <w:p>
      <w:pPr>
        <w:ind w:firstLine="560" w:firstLineChars="200"/>
        <w:rPr>
          <w:rFonts w:ascii="宋体" w:hAnsi="宋体" w:cs="宋体"/>
          <w:sz w:val="28"/>
          <w:szCs w:val="28"/>
          <w:highlight w:val="none"/>
        </w:rPr>
      </w:pPr>
      <w:r>
        <w:rPr>
          <w:rFonts w:hint="eastAsia" w:ascii="宋体" w:hAnsi="宋体" w:cs="宋体"/>
          <w:sz w:val="28"/>
          <w:szCs w:val="28"/>
          <w:highlight w:val="none"/>
        </w:rPr>
        <w:t>针对蚌埠市第一人民医院体检常用检验病理外送服务采购项目</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项目包号：</w:t>
      </w:r>
      <w:r>
        <w:rPr>
          <w:rFonts w:hint="eastAsia" w:ascii="宋体" w:hAnsi="宋体" w:cs="宋体"/>
          <w:sz w:val="28"/>
          <w:szCs w:val="28"/>
          <w:highlight w:val="none"/>
          <w:u w:val="single"/>
          <w:lang w:val="en-US" w:eastAsia="zh-CN"/>
        </w:rPr>
        <w:t xml:space="preserve">  </w:t>
      </w:r>
      <w:r>
        <w:rPr>
          <w:rFonts w:hint="eastAsia" w:ascii="宋体" w:hAnsi="宋体" w:cs="宋体"/>
          <w:sz w:val="28"/>
          <w:szCs w:val="28"/>
          <w:highlight w:val="none"/>
        </w:rPr>
        <w:t>,采购意向及需求公示，我单位反馈意见如下：</w:t>
      </w:r>
    </w:p>
    <w:p>
      <w:pPr>
        <w:ind w:firstLine="560" w:firstLineChars="200"/>
        <w:outlineLvl w:val="0"/>
        <w:rPr>
          <w:rFonts w:ascii="宋体"/>
          <w:sz w:val="28"/>
          <w:szCs w:val="28"/>
          <w:highlight w:val="none"/>
        </w:rPr>
      </w:pPr>
      <w:r>
        <w:rPr>
          <w:rFonts w:hint="eastAsia" w:ascii="宋体" w:hAnsi="宋体" w:cs="宋体"/>
          <w:sz w:val="28"/>
          <w:szCs w:val="28"/>
          <w:highlight w:val="none"/>
        </w:rPr>
        <w:t>一、需求存在倾向性内容，建议进行修改，修改意见如下：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ind w:firstLine="560" w:firstLineChars="200"/>
        <w:outlineLvl w:val="0"/>
        <w:rPr>
          <w:rFonts w:ascii="宋体"/>
          <w:sz w:val="28"/>
          <w:szCs w:val="28"/>
          <w:highlight w:val="none"/>
        </w:rPr>
      </w:pPr>
      <w:r>
        <w:rPr>
          <w:rFonts w:hint="eastAsia" w:ascii="宋体" w:hAnsi="宋体" w:cs="宋体"/>
          <w:sz w:val="28"/>
          <w:szCs w:val="28"/>
          <w:highlight w:val="none"/>
        </w:rPr>
        <w:t>二、技术需求存在不明确（或不完整）内容，无法报价，建议进行完善，完善意见如下：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pStyle w:val="14"/>
        <w:snapToGrid w:val="0"/>
        <w:spacing w:beforeAutospacing="0" w:afterAutospacing="0" w:line="360" w:lineRule="auto"/>
        <w:outlineLvl w:val="2"/>
        <w:rPr>
          <w:rFonts w:ascii="宋体" w:hAnsi="宋体" w:cs="宋体"/>
          <w:bCs/>
          <w:szCs w:val="24"/>
          <w:highlight w:val="none"/>
        </w:rPr>
      </w:pPr>
      <w:r>
        <w:rPr>
          <w:rFonts w:hint="eastAsia" w:ascii="宋体" w:hAnsi="宋体" w:cs="宋体"/>
          <w:sz w:val="28"/>
          <w:szCs w:val="28"/>
          <w:highlight w:val="none"/>
        </w:rPr>
        <w:t>特此函告</w:t>
      </w:r>
    </w:p>
    <w:p>
      <w:pPr>
        <w:rPr>
          <w:rFonts w:ascii="宋体" w:hAnsi="宋体" w:eastAsia="宋体" w:cs="宋体"/>
          <w:kern w:val="0"/>
          <w:sz w:val="28"/>
          <w:szCs w:val="28"/>
          <w:highlight w:val="none"/>
        </w:rPr>
      </w:pPr>
    </w:p>
    <w:p>
      <w:pPr>
        <w:rPr>
          <w:rFonts w:hint="eastAsia"/>
          <w:lang w:val="en-US" w:eastAsia="zh-CN"/>
        </w:rPr>
      </w:pPr>
    </w:p>
    <w:p>
      <w:pPr>
        <w:rPr>
          <w:rFonts w:ascii="宋体" w:hAnsi="宋体" w:eastAsia="宋体" w:cs="宋体"/>
          <w:kern w:val="0"/>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FangSong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C40C5B"/>
    <w:multiLevelType w:val="multilevel"/>
    <w:tmpl w:val="1DC40C5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28841D64"/>
    <w:multiLevelType w:val="multilevel"/>
    <w:tmpl w:val="28841D6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34990EA0"/>
    <w:multiLevelType w:val="multilevel"/>
    <w:tmpl w:val="34990EA0"/>
    <w:lvl w:ilvl="0" w:tentative="0">
      <w:start w:val="1"/>
      <w:numFmt w:val="decimal"/>
      <w:lvlText w:val="%1"/>
      <w:lvlJc w:val="left"/>
      <w:pPr>
        <w:ind w:left="432" w:hanging="432"/>
      </w:pPr>
    </w:lvl>
    <w:lvl w:ilvl="1" w:tentative="0">
      <w:start w:val="1"/>
      <w:numFmt w:val="decimal"/>
      <w:pStyle w:val="6"/>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3">
    <w:nsid w:val="3F5D0832"/>
    <w:multiLevelType w:val="multilevel"/>
    <w:tmpl w:val="3F5D083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524A166B"/>
    <w:multiLevelType w:val="multilevel"/>
    <w:tmpl w:val="524A166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5E86E09"/>
    <w:multiLevelType w:val="multilevel"/>
    <w:tmpl w:val="55E86E0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79A6B715"/>
    <w:multiLevelType w:val="singleLevel"/>
    <w:tmpl w:val="79A6B715"/>
    <w:lvl w:ilvl="0" w:tentative="0">
      <w:start w:val="1"/>
      <w:numFmt w:val="decimal"/>
      <w:suff w:val="nothing"/>
      <w:lvlText w:val="%1、"/>
      <w:lvlJc w:val="left"/>
    </w:lvl>
  </w:abstractNum>
  <w:num w:numId="1">
    <w:abstractNumId w:val="2"/>
  </w:num>
  <w:num w:numId="2">
    <w:abstractNumId w:val="6"/>
  </w:num>
  <w:num w:numId="3">
    <w:abstractNumId w:val="1"/>
  </w:num>
  <w:num w:numId="4">
    <w:abstractNumId w:val="4"/>
  </w:num>
  <w:num w:numId="5">
    <w:abstractNumId w:val="3"/>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2F95C17"/>
    <w:rsid w:val="03F618F7"/>
    <w:rsid w:val="05BB0E6A"/>
    <w:rsid w:val="07884358"/>
    <w:rsid w:val="088157DD"/>
    <w:rsid w:val="0EA531C5"/>
    <w:rsid w:val="102871DA"/>
    <w:rsid w:val="13CC35BB"/>
    <w:rsid w:val="19E1315F"/>
    <w:rsid w:val="1A4F03D7"/>
    <w:rsid w:val="1A5F0800"/>
    <w:rsid w:val="20701E96"/>
    <w:rsid w:val="21580108"/>
    <w:rsid w:val="24AE53EF"/>
    <w:rsid w:val="257122AF"/>
    <w:rsid w:val="2D925870"/>
    <w:rsid w:val="3183424E"/>
    <w:rsid w:val="39E72900"/>
    <w:rsid w:val="3A59465F"/>
    <w:rsid w:val="3D3F4BEA"/>
    <w:rsid w:val="442C0469"/>
    <w:rsid w:val="44C73830"/>
    <w:rsid w:val="45156B9E"/>
    <w:rsid w:val="46796E24"/>
    <w:rsid w:val="480656EC"/>
    <w:rsid w:val="48212119"/>
    <w:rsid w:val="4D071309"/>
    <w:rsid w:val="52FB7715"/>
    <w:rsid w:val="558D68E8"/>
    <w:rsid w:val="56DD42FB"/>
    <w:rsid w:val="5C267B9A"/>
    <w:rsid w:val="5C6E4623"/>
    <w:rsid w:val="5D480901"/>
    <w:rsid w:val="5F2B5C40"/>
    <w:rsid w:val="5FF4532C"/>
    <w:rsid w:val="630E2FA0"/>
    <w:rsid w:val="63985972"/>
    <w:rsid w:val="6479387F"/>
    <w:rsid w:val="64EA6690"/>
    <w:rsid w:val="64FF6797"/>
    <w:rsid w:val="67EF7DEE"/>
    <w:rsid w:val="68ED244F"/>
    <w:rsid w:val="6D663E0B"/>
    <w:rsid w:val="6E5318EA"/>
    <w:rsid w:val="6F915E09"/>
    <w:rsid w:val="6F922F7F"/>
    <w:rsid w:val="703F64BC"/>
    <w:rsid w:val="754828ED"/>
    <w:rsid w:val="754941F9"/>
    <w:rsid w:val="75BD7996"/>
    <w:rsid w:val="76AC78FF"/>
    <w:rsid w:val="795F7F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1"/>
    <w:basedOn w:val="1"/>
    <w:next w:val="1"/>
    <w:qFormat/>
    <w:uiPriority w:val="0"/>
    <w:pPr>
      <w:keepNext/>
      <w:keepLines/>
      <w:spacing w:before="340" w:beforeLines="0" w:after="330" w:afterLines="0" w:line="576" w:lineRule="auto"/>
      <w:outlineLvl w:val="0"/>
    </w:pPr>
    <w:rPr>
      <w:b/>
      <w:bCs/>
      <w:kern w:val="44"/>
      <w:sz w:val="30"/>
      <w:szCs w:val="44"/>
    </w:rPr>
  </w:style>
  <w:style w:type="paragraph" w:styleId="6">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ind w:left="420" w:leftChars="200"/>
    </w:pPr>
  </w:style>
  <w:style w:type="paragraph" w:styleId="4">
    <w:name w:val="envelope return"/>
    <w:basedOn w:val="1"/>
    <w:qFormat/>
    <w:uiPriority w:val="0"/>
    <w:pPr>
      <w:snapToGrid w:val="0"/>
    </w:pPr>
    <w:rPr>
      <w:rFonts w:ascii="Arial" w:hAnsi="Arial" w:cs="Arial"/>
    </w:rPr>
  </w:style>
  <w:style w:type="paragraph" w:styleId="7">
    <w:name w:val="annotation text"/>
    <w:basedOn w:val="1"/>
    <w:link w:val="25"/>
    <w:semiHidden/>
    <w:unhideWhenUsed/>
    <w:qFormat/>
    <w:uiPriority w:val="99"/>
    <w:pPr>
      <w:jc w:val="left"/>
    </w:pPr>
  </w:style>
  <w:style w:type="paragraph" w:styleId="8">
    <w:name w:val="Body Text"/>
    <w:basedOn w:val="1"/>
    <w:next w:val="9"/>
    <w:qFormat/>
    <w:uiPriority w:val="0"/>
    <w:rPr>
      <w:rFonts w:ascii="宋体" w:hAnsi="Arial"/>
      <w:sz w:val="28"/>
    </w:rPr>
  </w:style>
  <w:style w:type="paragraph" w:customStyle="1" w:styleId="9">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paragraph" w:styleId="10">
    <w:name w:val="Balloon Text"/>
    <w:basedOn w:val="1"/>
    <w:link w:val="27"/>
    <w:semiHidden/>
    <w:unhideWhenUsed/>
    <w:qFormat/>
    <w:uiPriority w:val="99"/>
    <w:rPr>
      <w:sz w:val="18"/>
      <w:szCs w:val="18"/>
    </w:rPr>
  </w:style>
  <w:style w:type="paragraph" w:styleId="11">
    <w:name w:val="footer"/>
    <w:basedOn w:val="1"/>
    <w:link w:val="22"/>
    <w:unhideWhenUsed/>
    <w:qFormat/>
    <w:uiPriority w:val="99"/>
    <w:pPr>
      <w:tabs>
        <w:tab w:val="center" w:pos="4153"/>
        <w:tab w:val="right" w:pos="8306"/>
      </w:tabs>
      <w:snapToGrid w:val="0"/>
      <w:jc w:val="left"/>
    </w:pPr>
    <w:rPr>
      <w:sz w:val="18"/>
      <w:szCs w:val="18"/>
    </w:rPr>
  </w:style>
  <w:style w:type="paragraph" w:styleId="12">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style>
  <w:style w:type="paragraph" w:styleId="14">
    <w:name w:val="Normal (Web)"/>
    <w:basedOn w:val="1"/>
    <w:unhideWhenUsed/>
    <w:qFormat/>
    <w:uiPriority w:val="0"/>
    <w:pPr>
      <w:spacing w:beforeAutospacing="1" w:afterAutospacing="1"/>
      <w:jc w:val="left"/>
    </w:pPr>
    <w:rPr>
      <w:kern w:val="0"/>
      <w:sz w:val="24"/>
    </w:rPr>
  </w:style>
  <w:style w:type="paragraph" w:styleId="15">
    <w:name w:val="annotation subject"/>
    <w:basedOn w:val="7"/>
    <w:next w:val="7"/>
    <w:link w:val="26"/>
    <w:semiHidden/>
    <w:unhideWhenUsed/>
    <w:qFormat/>
    <w:uiPriority w:val="99"/>
    <w:rPr>
      <w:b/>
      <w:bCs/>
    </w:rPr>
  </w:style>
  <w:style w:type="table" w:styleId="17">
    <w:name w:val="Table Grid"/>
    <w:basedOn w:val="16"/>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character" w:styleId="20">
    <w:name w:val="annotation reference"/>
    <w:basedOn w:val="18"/>
    <w:semiHidden/>
    <w:unhideWhenUsed/>
    <w:qFormat/>
    <w:uiPriority w:val="99"/>
    <w:rPr>
      <w:sz w:val="21"/>
      <w:szCs w:val="21"/>
    </w:rPr>
  </w:style>
  <w:style w:type="character" w:customStyle="1" w:styleId="21">
    <w:name w:val="页眉 Char"/>
    <w:basedOn w:val="18"/>
    <w:link w:val="12"/>
    <w:semiHidden/>
    <w:qFormat/>
    <w:uiPriority w:val="99"/>
    <w:rPr>
      <w:sz w:val="18"/>
      <w:szCs w:val="18"/>
    </w:rPr>
  </w:style>
  <w:style w:type="character" w:customStyle="1" w:styleId="22">
    <w:name w:val="页脚 Char"/>
    <w:basedOn w:val="18"/>
    <w:link w:val="11"/>
    <w:semiHidden/>
    <w:qFormat/>
    <w:uiPriority w:val="99"/>
    <w:rPr>
      <w:sz w:val="18"/>
      <w:szCs w:val="18"/>
    </w:rPr>
  </w:style>
  <w:style w:type="paragraph" w:customStyle="1" w:styleId="23">
    <w:name w:val="列出段落1"/>
    <w:basedOn w:val="1"/>
    <w:qFormat/>
    <w:uiPriority w:val="34"/>
    <w:pPr>
      <w:ind w:firstLine="420" w:firstLineChars="200"/>
    </w:pPr>
  </w:style>
  <w:style w:type="paragraph" w:styleId="24">
    <w:name w:val="List Paragraph"/>
    <w:basedOn w:val="1"/>
    <w:unhideWhenUsed/>
    <w:qFormat/>
    <w:uiPriority w:val="99"/>
    <w:pPr>
      <w:ind w:firstLine="420" w:firstLineChars="200"/>
    </w:pPr>
  </w:style>
  <w:style w:type="character" w:customStyle="1" w:styleId="25">
    <w:name w:val="批注文字 Char"/>
    <w:basedOn w:val="18"/>
    <w:link w:val="7"/>
    <w:semiHidden/>
    <w:qFormat/>
    <w:uiPriority w:val="99"/>
    <w:rPr>
      <w:kern w:val="2"/>
      <w:sz w:val="21"/>
      <w:szCs w:val="22"/>
    </w:rPr>
  </w:style>
  <w:style w:type="character" w:customStyle="1" w:styleId="26">
    <w:name w:val="批注主题 Char"/>
    <w:basedOn w:val="25"/>
    <w:link w:val="15"/>
    <w:semiHidden/>
    <w:qFormat/>
    <w:uiPriority w:val="99"/>
    <w:rPr>
      <w:b/>
      <w:bCs/>
    </w:rPr>
  </w:style>
  <w:style w:type="character" w:customStyle="1" w:styleId="27">
    <w:name w:val="批注框文本 Char"/>
    <w:basedOn w:val="18"/>
    <w:link w:val="10"/>
    <w:semiHidden/>
    <w:qFormat/>
    <w:uiPriority w:val="99"/>
    <w:rPr>
      <w:kern w:val="2"/>
      <w:sz w:val="18"/>
      <w:szCs w:val="18"/>
    </w:rPr>
  </w:style>
  <w:style w:type="paragraph" w:customStyle="1" w:styleId="28">
    <w:name w:val="正文11"/>
    <w:basedOn w:val="1"/>
    <w:qFormat/>
    <w:uiPriority w:val="0"/>
    <w:pPr>
      <w:adjustRightInd w:val="0"/>
      <w:spacing w:line="318" w:lineRule="atLeast"/>
      <w:ind w:left="369" w:firstLine="369"/>
      <w:textAlignment w:val="baseline"/>
    </w:pPr>
    <w:rPr>
      <w:rFonts w:ascii="宋体" w:hAnsi="Calibri"/>
      <w:szCs w:val="20"/>
    </w:rPr>
  </w:style>
  <w:style w:type="paragraph" w:customStyle="1" w:styleId="29">
    <w:name w:val="Normal"/>
    <w:qFormat/>
    <w:uiPriority w:val="0"/>
    <w:rPr>
      <w:rFonts w:ascii="Times New Roman" w:hAnsi="Times New Roman" w:eastAsia="Times New Roman" w:cs="Times New Roman"/>
      <w:sz w:val="24"/>
      <w:szCs w:val="24"/>
      <w:lang w:bidi="ar-SA"/>
    </w:rPr>
  </w:style>
  <w:style w:type="table" w:customStyle="1" w:styleId="30">
    <w:name w:val="Plain Table 1"/>
    <w:basedOn w:val="16"/>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1">
    <w:name w:val="正文_0"/>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32">
    <w:name w:val="font51"/>
    <w:basedOn w:val="18"/>
    <w:qFormat/>
    <w:uiPriority w:val="0"/>
    <w:rPr>
      <w:rFonts w:ascii="Calibri" w:hAnsi="Calibri" w:cs="Calibri"/>
      <w:color w:val="000000"/>
      <w:sz w:val="22"/>
      <w:szCs w:val="22"/>
      <w:u w:val="none"/>
    </w:rPr>
  </w:style>
  <w:style w:type="paragraph" w:customStyle="1" w:styleId="33">
    <w:name w:val="列表段落1"/>
    <w:basedOn w:val="1"/>
    <w:qFormat/>
    <w:uiPriority w:val="34"/>
    <w:pPr>
      <w:ind w:firstLine="420" w:firstLineChars="200"/>
    </w:pPr>
    <w:rPr>
      <w:rFonts w:ascii="Calibri" w:hAnsi="Calibri"/>
      <w:szCs w:val="24"/>
    </w:rPr>
  </w:style>
  <w:style w:type="character" w:customStyle="1" w:styleId="34">
    <w:name w:val="font21"/>
    <w:basedOn w:val="1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4054</Words>
  <Characters>4320</Characters>
  <Lines>57</Lines>
  <Paragraphs>16</Paragraphs>
  <TotalTime>4</TotalTime>
  <ScaleCrop>false</ScaleCrop>
  <LinksUpToDate>false</LinksUpToDate>
  <CharactersWithSpaces>4379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2023-08-08T03:24:38Z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E413ABD78EAF4DD2AE3493271C476C59_13</vt:lpwstr>
  </property>
</Properties>
</file>