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widowControl/>
        <w:spacing w:line="600" w:lineRule="atLeast"/>
        <w:jc w:val="center"/>
        <w:rPr>
          <w:rFonts w:hint="eastAsia" w:ascii="宋体" w:hAnsi="宋体" w:cs="宋体"/>
          <w:b/>
          <w:bCs/>
          <w:kern w:val="0"/>
          <w:sz w:val="72"/>
          <w:szCs w:val="72"/>
          <w:shd w:val="clear" w:color="auto" w:fill="FFFFFF"/>
        </w:rPr>
      </w:pPr>
      <w:r>
        <w:rPr>
          <w:rFonts w:hint="eastAsia" w:ascii="宋体" w:hAnsi="宋体" w:cs="宋体"/>
          <w:b/>
          <w:bCs/>
          <w:kern w:val="0"/>
          <w:sz w:val="52"/>
          <w:szCs w:val="52"/>
          <w:shd w:val="clear" w:color="auto" w:fill="FFFFFF"/>
        </w:rPr>
        <w:t>蚌埠市第三人民医院甲醛灭菌相关耗材一批采购项目</w:t>
      </w:r>
    </w:p>
    <w:p>
      <w:pPr>
        <w:pStyle w:val="2"/>
        <w:rPr>
          <w:rFonts w:hint="eastAsia"/>
        </w:rPr>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2"/>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w:t>
      </w:r>
      <w:r>
        <w:rPr>
          <w:rFonts w:hint="eastAsia" w:ascii="宋体" w:hAnsi="宋体" w:cs="宋体"/>
          <w:sz w:val="28"/>
          <w:szCs w:val="28"/>
          <w:u w:val="single"/>
          <w:lang w:val="en-US" w:eastAsia="zh-CN"/>
        </w:rPr>
        <w:t>三</w:t>
      </w:r>
      <w:r>
        <w:rPr>
          <w:rFonts w:hint="eastAsia" w:ascii="宋体" w:hAnsi="宋体" w:cs="宋体"/>
          <w:sz w:val="28"/>
          <w:szCs w:val="28"/>
          <w:u w:val="single"/>
        </w:rPr>
        <w:t>人民医院</w:t>
      </w:r>
    </w:p>
    <w:p>
      <w:pPr>
        <w:pStyle w:val="2"/>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8</w:t>
      </w:r>
      <w:r>
        <w:rPr>
          <w:rFonts w:hint="eastAsia" w:ascii="宋体" w:hAnsi="宋体" w:cs="宋体"/>
          <w:sz w:val="28"/>
          <w:szCs w:val="28"/>
          <w:u w:val="single"/>
        </w:rPr>
        <w:t>月</w:t>
      </w:r>
      <w:r>
        <w:rPr>
          <w:rFonts w:hint="eastAsia" w:ascii="宋体" w:hAnsi="宋体" w:cs="宋体"/>
          <w:sz w:val="28"/>
          <w:szCs w:val="28"/>
          <w:u w:val="single"/>
          <w:lang w:val="en-US" w:eastAsia="zh-CN"/>
        </w:rPr>
        <w:t>10</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rPr>
          <w:kern w:val="0"/>
          <w:shd w:val="clear" w:color="auto" w:fill="FFFFFF"/>
        </w:rPr>
      </w:pPr>
    </w:p>
    <w:p>
      <w:pPr>
        <w:pStyle w:val="2"/>
        <w:rPr>
          <w:kern w:val="0"/>
          <w:shd w:val="clear" w:color="auto" w:fill="FFFFFF"/>
        </w:rPr>
      </w:pPr>
    </w:p>
    <w:p>
      <w:pPr>
        <w:widowControl/>
        <w:numPr>
          <w:ilvl w:val="0"/>
          <w:numId w:val="2"/>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项目名称：蚌埠市第三人民医院甲醛灭菌相关耗材一批采购项目</w:t>
      </w:r>
    </w:p>
    <w:p>
      <w:pPr>
        <w:widowControl/>
        <w:numPr>
          <w:ilvl w:val="0"/>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2、采购人：蚌埠市第</w:t>
      </w:r>
      <w:r>
        <w:rPr>
          <w:rFonts w:hint="eastAsia" w:ascii="宋体" w:hAnsi="宋体" w:cs="宋体"/>
          <w:kern w:val="0"/>
          <w:sz w:val="24"/>
          <w:szCs w:val="24"/>
          <w:shd w:val="clear" w:color="auto" w:fill="FFFFFF"/>
          <w:lang w:val="en-US" w:eastAsia="zh-CN"/>
        </w:rPr>
        <w:t>三</w:t>
      </w:r>
      <w:r>
        <w:rPr>
          <w:rFonts w:hint="eastAsia" w:ascii="宋体" w:hAnsi="宋体" w:cs="宋体"/>
          <w:kern w:val="0"/>
          <w:sz w:val="24"/>
          <w:szCs w:val="24"/>
          <w:shd w:val="clear" w:color="auto" w:fill="FFFFFF"/>
        </w:rPr>
        <w:t xml:space="preserve">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ascii="宋体" w:hAnsi="宋体" w:eastAsia="宋体" w:cs="宋体"/>
          <w:kern w:val="0"/>
          <w:sz w:val="24"/>
          <w:szCs w:val="24"/>
          <w:shd w:val="clear" w:color="auto" w:fill="FFFFFF"/>
        </w:rPr>
      </w:pPr>
      <w:r>
        <w:rPr>
          <w:rFonts w:hint="eastAsia" w:ascii="宋体" w:hAnsi="宋体" w:cs="宋体"/>
          <w:kern w:val="0"/>
          <w:sz w:val="24"/>
          <w:szCs w:val="24"/>
          <w:shd w:val="clear" w:color="auto" w:fill="FFFFFF"/>
        </w:rPr>
        <w:t>4、项目编号：ZCGF-BBSY-2023066</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5、项目年度预算：13.32万元/年</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6、合同履行期： 3年  </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7、拟采用的评审方法：低价中标法；</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8、付款方式：</w:t>
      </w:r>
      <w:r>
        <w:rPr>
          <w:rFonts w:hint="eastAsia" w:ascii="宋体" w:hAnsi="宋体" w:cs="宋体"/>
          <w:color w:val="auto"/>
          <w:sz w:val="24"/>
          <w:szCs w:val="24"/>
          <w:lang w:val="zh-CN"/>
        </w:rPr>
        <w:t>每半年结算一次。甲方按实际采购量与乙方办理价款结算，付款前乙方须提供有效发票给甲方。</w:t>
      </w:r>
      <w:r>
        <w:rPr>
          <w:rFonts w:hint="eastAsia" w:ascii="宋体" w:hAnsi="宋体" w:cs="宋体"/>
          <w:color w:val="auto"/>
          <w:kern w:val="0"/>
          <w:sz w:val="24"/>
          <w:szCs w:val="24"/>
          <w:shd w:val="clear" w:color="auto" w:fill="FFFFFF"/>
          <w:lang w:val="en-US" w:eastAsia="zh-CN"/>
        </w:rPr>
        <w:t xml:space="preserve">  </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9、供货期限：</w:t>
      </w:r>
      <w:r>
        <w:rPr>
          <w:rFonts w:hint="eastAsia" w:ascii="宋体" w:hAnsi="宋体"/>
          <w:color w:val="auto"/>
          <w:sz w:val="24"/>
          <w:szCs w:val="24"/>
        </w:rPr>
        <w:t>接医院通知后，按医院要求时间进行供货；</w:t>
      </w:r>
      <w:r>
        <w:rPr>
          <w:rFonts w:hint="eastAsia" w:ascii="宋体" w:hAnsi="宋体" w:cs="宋体"/>
          <w:color w:val="auto"/>
          <w:kern w:val="0"/>
          <w:sz w:val="24"/>
          <w:szCs w:val="24"/>
          <w:shd w:val="clear" w:color="auto" w:fill="FFFFFF"/>
          <w:lang w:val="en-US" w:eastAsia="zh-CN"/>
        </w:rPr>
        <w:t xml:space="preserve"> </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10、免费质保期：耗材全生命周期</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11、</w:t>
      </w:r>
      <w:r>
        <w:rPr>
          <w:rFonts w:hint="default" w:ascii="宋体" w:hAnsi="宋体" w:cs="宋体"/>
          <w:color w:val="auto"/>
          <w:kern w:val="0"/>
          <w:sz w:val="24"/>
          <w:szCs w:val="24"/>
          <w:shd w:val="clear" w:color="auto" w:fill="FFFFFF"/>
          <w:lang w:val="en-US" w:eastAsia="zh-CN"/>
        </w:rPr>
        <w:t>供货地点</w:t>
      </w:r>
      <w:r>
        <w:rPr>
          <w:rFonts w:hint="eastAsia" w:ascii="宋体" w:hAnsi="宋体" w:cs="宋体"/>
          <w:color w:val="auto"/>
          <w:kern w:val="0"/>
          <w:sz w:val="24"/>
          <w:szCs w:val="24"/>
          <w:shd w:val="clear" w:color="auto" w:fill="FFFFFF"/>
          <w:lang w:val="en-US" w:eastAsia="zh-CN"/>
        </w:rPr>
        <w:t xml:space="preserve">：采购人指定地点  </w:t>
      </w:r>
    </w:p>
    <w:p>
      <w:pPr>
        <w:autoSpaceDE w:val="0"/>
        <w:autoSpaceDN w:val="0"/>
        <w:adjustRightInd w:val="0"/>
        <w:spacing w:line="360" w:lineRule="auto"/>
        <w:jc w:val="left"/>
        <w:rPr>
          <w:rFonts w:hint="eastAsia" w:ascii="宋体" w:hAnsi="宋体" w:cs="宋体"/>
          <w:sz w:val="24"/>
          <w:szCs w:val="24"/>
        </w:rPr>
      </w:pPr>
      <w:r>
        <w:rPr>
          <w:rFonts w:hint="eastAsia" w:ascii="宋体" w:hAnsi="宋体" w:cs="宋体"/>
          <w:kern w:val="0"/>
          <w:sz w:val="24"/>
          <w:szCs w:val="24"/>
          <w:highlight w:val="none"/>
          <w:shd w:val="clear" w:color="auto" w:fill="FFFFFF"/>
          <w:lang w:val="en-US" w:eastAsia="zh-CN"/>
        </w:rPr>
        <w:t>12</w:t>
      </w:r>
      <w:r>
        <w:rPr>
          <w:rFonts w:hint="eastAsia" w:ascii="宋体" w:hAnsi="宋体" w:cs="宋体"/>
          <w:kern w:val="0"/>
          <w:sz w:val="24"/>
          <w:szCs w:val="24"/>
          <w:highlight w:val="none"/>
          <w:shd w:val="clear" w:color="auto" w:fill="FFFFFF"/>
        </w:rPr>
        <w:t>、</w:t>
      </w:r>
      <w:r>
        <w:rPr>
          <w:rFonts w:hint="eastAsia" w:ascii="宋体" w:hAnsi="宋体" w:cs="宋体"/>
          <w:sz w:val="24"/>
          <w:szCs w:val="24"/>
        </w:rPr>
        <w:t>采购需求：本项目</w:t>
      </w:r>
      <w:r>
        <w:rPr>
          <w:rFonts w:hint="eastAsia" w:ascii="宋体" w:hAnsi="宋体" w:cs="宋体"/>
          <w:sz w:val="24"/>
          <w:szCs w:val="24"/>
          <w:lang w:val="en-US" w:eastAsia="zh-CN"/>
        </w:rPr>
        <w:t>不分包，</w:t>
      </w:r>
      <w:r>
        <w:rPr>
          <w:rFonts w:hint="eastAsia" w:ascii="宋体" w:hAnsi="宋体" w:cs="宋体"/>
          <w:sz w:val="24"/>
          <w:szCs w:val="24"/>
        </w:rPr>
        <w:t>详见下表；</w:t>
      </w:r>
    </w:p>
    <w:tbl>
      <w:tblPr>
        <w:tblStyle w:val="15"/>
        <w:tblW w:w="9007" w:type="dxa"/>
        <w:tblInd w:w="0" w:type="dxa"/>
        <w:tblLayout w:type="autofit"/>
        <w:tblCellMar>
          <w:top w:w="0" w:type="dxa"/>
          <w:left w:w="108" w:type="dxa"/>
          <w:bottom w:w="0" w:type="dxa"/>
          <w:right w:w="108" w:type="dxa"/>
        </w:tblCellMar>
      </w:tblPr>
      <w:tblGrid>
        <w:gridCol w:w="751"/>
        <w:gridCol w:w="1661"/>
        <w:gridCol w:w="1916"/>
        <w:gridCol w:w="673"/>
        <w:gridCol w:w="1083"/>
        <w:gridCol w:w="1412"/>
        <w:gridCol w:w="1511"/>
      </w:tblGrid>
      <w:tr>
        <w:tblPrEx>
          <w:tblCellMar>
            <w:top w:w="0" w:type="dxa"/>
            <w:left w:w="108" w:type="dxa"/>
            <w:bottom w:w="0" w:type="dxa"/>
            <w:right w:w="108" w:type="dxa"/>
          </w:tblCellMar>
        </w:tblPrEx>
        <w:trPr>
          <w:trHeight w:val="540" w:hRule="atLeast"/>
        </w:trPr>
        <w:tc>
          <w:tcPr>
            <w:tcW w:w="751"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序号</w:t>
            </w:r>
          </w:p>
        </w:tc>
        <w:tc>
          <w:tcPr>
            <w:tcW w:w="1661"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品名</w:t>
            </w:r>
          </w:p>
        </w:tc>
        <w:tc>
          <w:tcPr>
            <w:tcW w:w="191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规格（相当于）</w:t>
            </w:r>
          </w:p>
        </w:tc>
        <w:tc>
          <w:tcPr>
            <w:tcW w:w="673"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单位</w:t>
            </w:r>
          </w:p>
        </w:tc>
        <w:tc>
          <w:tcPr>
            <w:tcW w:w="1083"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限价/元</w:t>
            </w:r>
          </w:p>
        </w:tc>
        <w:tc>
          <w:tcPr>
            <w:tcW w:w="141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年度预计使用量</w:t>
            </w:r>
          </w:p>
        </w:tc>
        <w:tc>
          <w:tcPr>
            <w:tcW w:w="1511"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年度预计采购金额/元</w:t>
            </w:r>
          </w:p>
        </w:tc>
      </w:tr>
      <w:tr>
        <w:tblPrEx>
          <w:tblCellMar>
            <w:top w:w="0" w:type="dxa"/>
            <w:left w:w="108" w:type="dxa"/>
            <w:bottom w:w="0" w:type="dxa"/>
            <w:right w:w="108" w:type="dxa"/>
          </w:tblCellMar>
        </w:tblPrEx>
        <w:trPr>
          <w:trHeight w:val="270" w:hRule="atLeast"/>
        </w:trPr>
        <w:tc>
          <w:tcPr>
            <w:tcW w:w="751"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2"/>
              </w:rPr>
            </w:pPr>
            <w:r>
              <w:rPr>
                <w:rFonts w:hint="eastAsia" w:ascii="宋体" w:hAnsi="宋体" w:eastAsia="宋体" w:cs="宋体"/>
                <w:kern w:val="0"/>
                <w:sz w:val="22"/>
              </w:rPr>
              <w:t>1</w:t>
            </w:r>
          </w:p>
        </w:tc>
        <w:tc>
          <w:tcPr>
            <w:tcW w:w="1661" w:type="dxa"/>
            <w:tcBorders>
              <w:top w:val="nil"/>
              <w:left w:val="nil"/>
              <w:bottom w:val="single" w:color="auto" w:sz="4" w:space="0"/>
              <w:right w:val="single" w:color="auto" w:sz="4" w:space="0"/>
            </w:tcBorders>
            <w:noWrap w:val="0"/>
            <w:vAlign w:val="center"/>
          </w:tcPr>
          <w:p>
            <w:pPr>
              <w:spacing w:line="360" w:lineRule="auto"/>
              <w:rPr>
                <w:rFonts w:ascii="宋体" w:hAnsi="宋体" w:cs="宋体"/>
                <w:sz w:val="22"/>
              </w:rPr>
            </w:pPr>
            <w:r>
              <w:rPr>
                <w:rFonts w:hint="eastAsia" w:ascii="宋体" w:hAnsi="宋体" w:cs="宋体"/>
                <w:sz w:val="22"/>
              </w:rPr>
              <w:t>甲醛灭菌化学指示卡</w:t>
            </w:r>
          </w:p>
        </w:tc>
        <w:tc>
          <w:tcPr>
            <w:tcW w:w="1916"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200片/盒</w:t>
            </w:r>
          </w:p>
        </w:tc>
        <w:tc>
          <w:tcPr>
            <w:tcW w:w="673"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2"/>
              </w:rPr>
            </w:pPr>
            <w:r>
              <w:rPr>
                <w:rFonts w:hint="eastAsia" w:ascii="宋体" w:hAnsi="宋体" w:eastAsia="宋体" w:cs="宋体"/>
                <w:kern w:val="0"/>
                <w:sz w:val="24"/>
                <w:szCs w:val="24"/>
              </w:rPr>
              <w:t>片</w:t>
            </w:r>
          </w:p>
        </w:tc>
        <w:tc>
          <w:tcPr>
            <w:tcW w:w="1083"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sz w:val="22"/>
              </w:rPr>
            </w:pPr>
            <w:r>
              <w:rPr>
                <w:rFonts w:hint="eastAsia" w:ascii="宋体" w:hAnsi="宋体" w:cs="宋体"/>
                <w:sz w:val="22"/>
              </w:rPr>
              <w:t>1.3</w:t>
            </w:r>
          </w:p>
        </w:tc>
        <w:tc>
          <w:tcPr>
            <w:tcW w:w="1412"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sz w:val="22"/>
              </w:rPr>
            </w:pPr>
            <w:r>
              <w:rPr>
                <w:rFonts w:hint="eastAsia" w:ascii="宋体" w:hAnsi="宋体" w:cs="宋体"/>
                <w:sz w:val="22"/>
              </w:rPr>
              <w:t>6000</w:t>
            </w:r>
          </w:p>
        </w:tc>
        <w:tc>
          <w:tcPr>
            <w:tcW w:w="1511" w:type="dxa"/>
            <w:tcBorders>
              <w:top w:val="nil"/>
              <w:left w:val="nil"/>
              <w:bottom w:val="single" w:color="auto" w:sz="4" w:space="0"/>
              <w:right w:val="single" w:color="auto" w:sz="4" w:space="0"/>
            </w:tcBorders>
            <w:noWrap w:val="0"/>
            <w:vAlign w:val="center"/>
          </w:tcPr>
          <w:p>
            <w:pPr>
              <w:widowControl/>
              <w:spacing w:line="360" w:lineRule="auto"/>
              <w:jc w:val="center"/>
              <w:textAlignment w:val="center"/>
              <w:rPr>
                <w:rFonts w:ascii="宋体" w:hAnsi="宋体" w:cs="宋体"/>
                <w:sz w:val="22"/>
              </w:rPr>
            </w:pPr>
            <w:r>
              <w:rPr>
                <w:rFonts w:hint="eastAsia" w:ascii="宋体" w:hAnsi="宋体" w:eastAsia="宋体" w:cs="宋体"/>
                <w:color w:val="000000"/>
                <w:kern w:val="0"/>
                <w:sz w:val="24"/>
                <w:szCs w:val="24"/>
              </w:rPr>
              <w:t>7800</w:t>
            </w:r>
          </w:p>
        </w:tc>
      </w:tr>
      <w:tr>
        <w:tblPrEx>
          <w:tblCellMar>
            <w:top w:w="0" w:type="dxa"/>
            <w:left w:w="108" w:type="dxa"/>
            <w:bottom w:w="0" w:type="dxa"/>
            <w:right w:w="108" w:type="dxa"/>
          </w:tblCellMar>
        </w:tblPrEx>
        <w:trPr>
          <w:trHeight w:val="540" w:hRule="atLeast"/>
        </w:trPr>
        <w:tc>
          <w:tcPr>
            <w:tcW w:w="751"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2"/>
              </w:rPr>
            </w:pPr>
            <w:r>
              <w:rPr>
                <w:rFonts w:hint="eastAsia" w:ascii="宋体" w:hAnsi="宋体" w:eastAsia="宋体" w:cs="宋体"/>
                <w:kern w:val="0"/>
                <w:sz w:val="22"/>
              </w:rPr>
              <w:t>2</w:t>
            </w:r>
          </w:p>
        </w:tc>
        <w:tc>
          <w:tcPr>
            <w:tcW w:w="1661" w:type="dxa"/>
            <w:tcBorders>
              <w:top w:val="nil"/>
              <w:left w:val="nil"/>
              <w:bottom w:val="single" w:color="auto" w:sz="4" w:space="0"/>
              <w:right w:val="single" w:color="auto" w:sz="4" w:space="0"/>
            </w:tcBorders>
            <w:noWrap w:val="0"/>
            <w:vAlign w:val="center"/>
          </w:tcPr>
          <w:p>
            <w:pPr>
              <w:spacing w:line="360" w:lineRule="auto"/>
              <w:rPr>
                <w:rFonts w:ascii="宋体" w:hAnsi="宋体" w:cs="宋体"/>
                <w:sz w:val="22"/>
              </w:rPr>
            </w:pPr>
            <w:r>
              <w:rPr>
                <w:rFonts w:hint="eastAsia" w:ascii="宋体" w:hAnsi="宋体" w:cs="宋体"/>
                <w:sz w:val="22"/>
              </w:rPr>
              <w:t>甲醛灭菌化学验证装置</w:t>
            </w:r>
          </w:p>
        </w:tc>
        <w:tc>
          <w:tcPr>
            <w:tcW w:w="1916"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100次/盒</w:t>
            </w:r>
          </w:p>
        </w:tc>
        <w:tc>
          <w:tcPr>
            <w:tcW w:w="673"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2"/>
              </w:rPr>
            </w:pPr>
            <w:r>
              <w:rPr>
                <w:rFonts w:hint="eastAsia" w:ascii="宋体" w:hAnsi="宋体" w:eastAsia="宋体" w:cs="宋体"/>
                <w:kern w:val="0"/>
                <w:sz w:val="24"/>
                <w:szCs w:val="24"/>
              </w:rPr>
              <w:t>次</w:t>
            </w:r>
          </w:p>
        </w:tc>
        <w:tc>
          <w:tcPr>
            <w:tcW w:w="1083"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sz w:val="22"/>
              </w:rPr>
            </w:pPr>
            <w:r>
              <w:rPr>
                <w:rFonts w:hint="eastAsia" w:ascii="宋体" w:hAnsi="宋体" w:cs="宋体"/>
                <w:sz w:val="22"/>
              </w:rPr>
              <w:t>18</w:t>
            </w:r>
          </w:p>
        </w:tc>
        <w:tc>
          <w:tcPr>
            <w:tcW w:w="1412"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sz w:val="22"/>
              </w:rPr>
            </w:pPr>
            <w:r>
              <w:rPr>
                <w:rFonts w:hint="eastAsia" w:ascii="宋体" w:hAnsi="宋体" w:cs="宋体"/>
                <w:sz w:val="22"/>
              </w:rPr>
              <w:t>600</w:t>
            </w:r>
          </w:p>
        </w:tc>
        <w:tc>
          <w:tcPr>
            <w:tcW w:w="1511" w:type="dxa"/>
            <w:tcBorders>
              <w:top w:val="nil"/>
              <w:left w:val="nil"/>
              <w:bottom w:val="single" w:color="auto" w:sz="4" w:space="0"/>
              <w:right w:val="single" w:color="auto" w:sz="4" w:space="0"/>
            </w:tcBorders>
            <w:noWrap w:val="0"/>
            <w:vAlign w:val="center"/>
          </w:tcPr>
          <w:p>
            <w:pPr>
              <w:widowControl/>
              <w:spacing w:line="360" w:lineRule="auto"/>
              <w:jc w:val="center"/>
              <w:textAlignment w:val="center"/>
              <w:rPr>
                <w:rFonts w:ascii="宋体" w:hAnsi="宋体" w:cs="宋体"/>
                <w:sz w:val="22"/>
              </w:rPr>
            </w:pPr>
            <w:r>
              <w:rPr>
                <w:rFonts w:hint="eastAsia" w:ascii="宋体" w:hAnsi="宋体" w:eastAsia="宋体" w:cs="宋体"/>
                <w:color w:val="000000"/>
                <w:kern w:val="0"/>
                <w:sz w:val="24"/>
                <w:szCs w:val="24"/>
              </w:rPr>
              <w:t>10800</w:t>
            </w:r>
          </w:p>
        </w:tc>
      </w:tr>
      <w:tr>
        <w:tblPrEx>
          <w:tblCellMar>
            <w:top w:w="0" w:type="dxa"/>
            <w:left w:w="108" w:type="dxa"/>
            <w:bottom w:w="0" w:type="dxa"/>
            <w:right w:w="108" w:type="dxa"/>
          </w:tblCellMar>
        </w:tblPrEx>
        <w:trPr>
          <w:trHeight w:val="540" w:hRule="atLeast"/>
        </w:trPr>
        <w:tc>
          <w:tcPr>
            <w:tcW w:w="751" w:type="dxa"/>
            <w:tcBorders>
              <w:top w:val="nil"/>
              <w:left w:val="single" w:color="auto" w:sz="4" w:space="0"/>
              <w:bottom w:val="nil"/>
              <w:right w:val="single" w:color="auto" w:sz="4" w:space="0"/>
            </w:tcBorders>
            <w:noWrap w:val="0"/>
            <w:vAlign w:val="center"/>
          </w:tcPr>
          <w:p>
            <w:pPr>
              <w:widowControl/>
              <w:spacing w:line="360" w:lineRule="auto"/>
              <w:jc w:val="center"/>
              <w:rPr>
                <w:rFonts w:ascii="宋体" w:hAnsi="宋体" w:eastAsia="宋体" w:cs="宋体"/>
                <w:kern w:val="0"/>
                <w:sz w:val="22"/>
              </w:rPr>
            </w:pPr>
            <w:r>
              <w:rPr>
                <w:rFonts w:hint="eastAsia" w:ascii="宋体" w:hAnsi="宋体" w:eastAsia="宋体" w:cs="宋体"/>
                <w:kern w:val="0"/>
                <w:sz w:val="22"/>
              </w:rPr>
              <w:t>3</w:t>
            </w:r>
          </w:p>
        </w:tc>
        <w:tc>
          <w:tcPr>
            <w:tcW w:w="1661" w:type="dxa"/>
            <w:tcBorders>
              <w:top w:val="nil"/>
              <w:left w:val="nil"/>
              <w:bottom w:val="single" w:color="auto" w:sz="4" w:space="0"/>
              <w:right w:val="single" w:color="auto" w:sz="4" w:space="0"/>
            </w:tcBorders>
            <w:noWrap w:val="0"/>
            <w:vAlign w:val="center"/>
          </w:tcPr>
          <w:p>
            <w:pPr>
              <w:spacing w:line="360" w:lineRule="auto"/>
              <w:rPr>
                <w:rFonts w:ascii="宋体" w:hAnsi="宋体" w:cs="宋体"/>
                <w:sz w:val="22"/>
              </w:rPr>
            </w:pPr>
            <w:r>
              <w:rPr>
                <w:rFonts w:hint="eastAsia" w:ascii="宋体" w:hAnsi="宋体" w:cs="宋体"/>
                <w:sz w:val="22"/>
              </w:rPr>
              <w:t>甲醛化学指示胶带</w:t>
            </w:r>
          </w:p>
        </w:tc>
        <w:tc>
          <w:tcPr>
            <w:tcW w:w="1916"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20卷/盒</w:t>
            </w:r>
          </w:p>
        </w:tc>
        <w:tc>
          <w:tcPr>
            <w:tcW w:w="673"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2"/>
              </w:rPr>
            </w:pPr>
            <w:r>
              <w:rPr>
                <w:rFonts w:hint="eastAsia" w:ascii="宋体" w:hAnsi="宋体" w:eastAsia="宋体" w:cs="宋体"/>
                <w:kern w:val="0"/>
                <w:sz w:val="24"/>
                <w:szCs w:val="24"/>
              </w:rPr>
              <w:t>卷</w:t>
            </w:r>
          </w:p>
        </w:tc>
        <w:tc>
          <w:tcPr>
            <w:tcW w:w="1083"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sz w:val="22"/>
              </w:rPr>
            </w:pPr>
            <w:r>
              <w:rPr>
                <w:rFonts w:hint="eastAsia" w:ascii="宋体" w:hAnsi="宋体" w:cs="宋体"/>
                <w:sz w:val="22"/>
              </w:rPr>
              <w:t>165</w:t>
            </w:r>
          </w:p>
        </w:tc>
        <w:tc>
          <w:tcPr>
            <w:tcW w:w="1412"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sz w:val="22"/>
              </w:rPr>
            </w:pPr>
            <w:r>
              <w:rPr>
                <w:rFonts w:hint="eastAsia" w:ascii="宋体" w:hAnsi="宋体" w:cs="宋体"/>
                <w:sz w:val="22"/>
              </w:rPr>
              <w:t>20</w:t>
            </w:r>
          </w:p>
        </w:tc>
        <w:tc>
          <w:tcPr>
            <w:tcW w:w="1511" w:type="dxa"/>
            <w:tcBorders>
              <w:top w:val="nil"/>
              <w:left w:val="nil"/>
              <w:bottom w:val="single" w:color="auto" w:sz="4" w:space="0"/>
              <w:right w:val="single" w:color="auto" w:sz="4" w:space="0"/>
            </w:tcBorders>
            <w:noWrap w:val="0"/>
            <w:vAlign w:val="center"/>
          </w:tcPr>
          <w:p>
            <w:pPr>
              <w:widowControl/>
              <w:spacing w:line="360" w:lineRule="auto"/>
              <w:jc w:val="center"/>
              <w:textAlignment w:val="center"/>
              <w:rPr>
                <w:rFonts w:ascii="宋体" w:hAnsi="宋体" w:cs="宋体"/>
                <w:sz w:val="22"/>
              </w:rPr>
            </w:pPr>
            <w:r>
              <w:rPr>
                <w:rFonts w:hint="eastAsia" w:ascii="宋体" w:hAnsi="宋体" w:eastAsia="宋体" w:cs="宋体"/>
                <w:color w:val="000000"/>
                <w:kern w:val="0"/>
                <w:sz w:val="24"/>
                <w:szCs w:val="24"/>
              </w:rPr>
              <w:t>3300</w:t>
            </w:r>
          </w:p>
        </w:tc>
      </w:tr>
      <w:tr>
        <w:tblPrEx>
          <w:tblCellMar>
            <w:top w:w="0" w:type="dxa"/>
            <w:left w:w="108" w:type="dxa"/>
            <w:bottom w:w="0" w:type="dxa"/>
            <w:right w:w="108" w:type="dxa"/>
          </w:tblCellMar>
        </w:tblPrEx>
        <w:trPr>
          <w:trHeight w:val="540" w:hRule="atLeast"/>
        </w:trPr>
        <w:tc>
          <w:tcPr>
            <w:tcW w:w="751"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2"/>
              </w:rPr>
            </w:pPr>
            <w:r>
              <w:rPr>
                <w:rFonts w:hint="eastAsia" w:ascii="宋体" w:hAnsi="宋体" w:eastAsia="宋体" w:cs="宋体"/>
                <w:kern w:val="0"/>
                <w:sz w:val="22"/>
              </w:rPr>
              <w:t>4</w:t>
            </w:r>
          </w:p>
        </w:tc>
        <w:tc>
          <w:tcPr>
            <w:tcW w:w="1661" w:type="dxa"/>
            <w:tcBorders>
              <w:top w:val="nil"/>
              <w:left w:val="nil"/>
              <w:bottom w:val="single" w:color="auto" w:sz="4" w:space="0"/>
              <w:right w:val="single" w:color="auto" w:sz="4" w:space="0"/>
            </w:tcBorders>
            <w:noWrap w:val="0"/>
            <w:vAlign w:val="center"/>
          </w:tcPr>
          <w:p>
            <w:pPr>
              <w:spacing w:line="360" w:lineRule="auto"/>
              <w:rPr>
                <w:rFonts w:ascii="宋体" w:hAnsi="宋体" w:cs="宋体"/>
                <w:sz w:val="22"/>
              </w:rPr>
            </w:pPr>
            <w:r>
              <w:rPr>
                <w:rFonts w:hint="eastAsia" w:ascii="宋体" w:hAnsi="宋体" w:cs="宋体"/>
                <w:sz w:val="22"/>
              </w:rPr>
              <w:t>低温甲醛灭菌信息追溯标签（含甲醛灭菌化学指示色块）</w:t>
            </w:r>
          </w:p>
        </w:tc>
        <w:tc>
          <w:tcPr>
            <w:tcW w:w="1916"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400片/卷</w:t>
            </w:r>
          </w:p>
        </w:tc>
        <w:tc>
          <w:tcPr>
            <w:tcW w:w="673" w:type="dxa"/>
            <w:tcBorders>
              <w:top w:val="nil"/>
              <w:left w:val="nil"/>
              <w:bottom w:val="single" w:color="auto" w:sz="4" w:space="0"/>
              <w:right w:val="single" w:color="auto" w:sz="4" w:space="0"/>
            </w:tcBorders>
            <w:noWrap w:val="0"/>
            <w:vAlign w:val="center"/>
          </w:tcPr>
          <w:p>
            <w:pPr>
              <w:spacing w:line="360" w:lineRule="auto"/>
              <w:jc w:val="center"/>
            </w:pPr>
            <w:r>
              <w:rPr>
                <w:rFonts w:hint="eastAsia" w:ascii="宋体" w:hAnsi="宋体" w:eastAsia="宋体" w:cs="宋体"/>
                <w:kern w:val="0"/>
                <w:sz w:val="24"/>
                <w:szCs w:val="24"/>
              </w:rPr>
              <w:t>片</w:t>
            </w:r>
          </w:p>
        </w:tc>
        <w:tc>
          <w:tcPr>
            <w:tcW w:w="1083"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sz w:val="22"/>
              </w:rPr>
            </w:pPr>
            <w:r>
              <w:rPr>
                <w:rFonts w:hint="eastAsia" w:ascii="宋体" w:hAnsi="宋体" w:cs="宋体"/>
                <w:sz w:val="22"/>
              </w:rPr>
              <w:t>0.7</w:t>
            </w:r>
          </w:p>
        </w:tc>
        <w:tc>
          <w:tcPr>
            <w:tcW w:w="1412"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sz w:val="22"/>
              </w:rPr>
            </w:pPr>
            <w:r>
              <w:rPr>
                <w:rFonts w:hint="eastAsia" w:ascii="宋体" w:hAnsi="宋体" w:cs="宋体"/>
                <w:sz w:val="22"/>
              </w:rPr>
              <w:t>6000</w:t>
            </w:r>
          </w:p>
        </w:tc>
        <w:tc>
          <w:tcPr>
            <w:tcW w:w="1511" w:type="dxa"/>
            <w:tcBorders>
              <w:top w:val="nil"/>
              <w:left w:val="nil"/>
              <w:bottom w:val="single" w:color="auto" w:sz="4" w:space="0"/>
              <w:right w:val="single" w:color="auto" w:sz="4" w:space="0"/>
            </w:tcBorders>
            <w:noWrap w:val="0"/>
            <w:vAlign w:val="center"/>
          </w:tcPr>
          <w:p>
            <w:pPr>
              <w:widowControl/>
              <w:spacing w:line="360" w:lineRule="auto"/>
              <w:jc w:val="center"/>
              <w:textAlignment w:val="center"/>
              <w:rPr>
                <w:rFonts w:ascii="宋体" w:hAnsi="宋体" w:cs="宋体"/>
                <w:sz w:val="22"/>
              </w:rPr>
            </w:pPr>
            <w:r>
              <w:rPr>
                <w:rFonts w:hint="eastAsia" w:ascii="宋体" w:hAnsi="宋体" w:eastAsia="宋体" w:cs="宋体"/>
                <w:color w:val="000000"/>
                <w:kern w:val="0"/>
                <w:sz w:val="24"/>
                <w:szCs w:val="24"/>
              </w:rPr>
              <w:t>4200</w:t>
            </w:r>
          </w:p>
        </w:tc>
      </w:tr>
      <w:tr>
        <w:tblPrEx>
          <w:tblCellMar>
            <w:top w:w="0" w:type="dxa"/>
            <w:left w:w="108" w:type="dxa"/>
            <w:bottom w:w="0" w:type="dxa"/>
            <w:right w:w="108" w:type="dxa"/>
          </w:tblCellMar>
        </w:tblPrEx>
        <w:trPr>
          <w:trHeight w:val="540" w:hRule="atLeast"/>
        </w:trPr>
        <w:tc>
          <w:tcPr>
            <w:tcW w:w="751"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2"/>
              </w:rPr>
            </w:pPr>
            <w:r>
              <w:rPr>
                <w:rFonts w:hint="eastAsia" w:ascii="宋体" w:hAnsi="宋体" w:eastAsia="宋体" w:cs="宋体"/>
                <w:kern w:val="0"/>
                <w:sz w:val="22"/>
              </w:rPr>
              <w:t>5</w:t>
            </w:r>
          </w:p>
        </w:tc>
        <w:tc>
          <w:tcPr>
            <w:tcW w:w="1661" w:type="dxa"/>
            <w:tcBorders>
              <w:top w:val="nil"/>
              <w:left w:val="nil"/>
              <w:bottom w:val="single" w:color="auto" w:sz="4" w:space="0"/>
              <w:right w:val="single" w:color="auto" w:sz="4" w:space="0"/>
            </w:tcBorders>
            <w:noWrap w:val="0"/>
            <w:vAlign w:val="center"/>
          </w:tcPr>
          <w:p>
            <w:pPr>
              <w:spacing w:line="360" w:lineRule="auto"/>
              <w:rPr>
                <w:rFonts w:ascii="宋体" w:hAnsi="宋体" w:cs="宋体"/>
                <w:sz w:val="22"/>
              </w:rPr>
            </w:pPr>
            <w:r>
              <w:rPr>
                <w:rFonts w:hint="eastAsia" w:ascii="宋体" w:hAnsi="宋体" w:cs="宋体"/>
                <w:sz w:val="22"/>
              </w:rPr>
              <w:t>甲醛灭菌生物指示剂</w:t>
            </w:r>
          </w:p>
        </w:tc>
        <w:tc>
          <w:tcPr>
            <w:tcW w:w="1916"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50支/盒</w:t>
            </w:r>
          </w:p>
        </w:tc>
        <w:tc>
          <w:tcPr>
            <w:tcW w:w="673" w:type="dxa"/>
            <w:tcBorders>
              <w:top w:val="nil"/>
              <w:left w:val="nil"/>
              <w:bottom w:val="single" w:color="auto" w:sz="4" w:space="0"/>
              <w:right w:val="single" w:color="auto" w:sz="4" w:space="0"/>
            </w:tcBorders>
            <w:noWrap w:val="0"/>
            <w:vAlign w:val="center"/>
          </w:tcPr>
          <w:p>
            <w:pPr>
              <w:spacing w:line="360" w:lineRule="auto"/>
              <w:jc w:val="center"/>
            </w:pPr>
            <w:r>
              <w:rPr>
                <w:rFonts w:hint="eastAsia" w:ascii="宋体" w:hAnsi="宋体" w:eastAsia="宋体" w:cs="宋体"/>
                <w:kern w:val="0"/>
                <w:sz w:val="24"/>
                <w:szCs w:val="24"/>
              </w:rPr>
              <w:t>支</w:t>
            </w:r>
          </w:p>
        </w:tc>
        <w:tc>
          <w:tcPr>
            <w:tcW w:w="1083"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68</w:t>
            </w:r>
          </w:p>
        </w:tc>
        <w:tc>
          <w:tcPr>
            <w:tcW w:w="1412"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150</w:t>
            </w:r>
          </w:p>
        </w:tc>
        <w:tc>
          <w:tcPr>
            <w:tcW w:w="1511" w:type="dxa"/>
            <w:tcBorders>
              <w:top w:val="nil"/>
              <w:left w:val="nil"/>
              <w:bottom w:val="single" w:color="auto" w:sz="4" w:space="0"/>
              <w:right w:val="single" w:color="auto" w:sz="4" w:space="0"/>
            </w:tcBorders>
            <w:noWrap w:val="0"/>
            <w:vAlign w:val="center"/>
          </w:tcPr>
          <w:p>
            <w:pPr>
              <w:widowControl/>
              <w:spacing w:line="360" w:lineRule="auto"/>
              <w:jc w:val="center"/>
              <w:textAlignment w:val="center"/>
              <w:rPr>
                <w:rFonts w:ascii="宋体" w:hAnsi="宋体" w:cs="宋体"/>
                <w:sz w:val="22"/>
              </w:rPr>
            </w:pPr>
            <w:r>
              <w:rPr>
                <w:rFonts w:hint="eastAsia" w:ascii="宋体" w:hAnsi="宋体" w:eastAsia="宋体" w:cs="宋体"/>
                <w:color w:val="000000"/>
                <w:kern w:val="0"/>
                <w:sz w:val="24"/>
                <w:szCs w:val="24"/>
              </w:rPr>
              <w:t>10200</w:t>
            </w:r>
          </w:p>
        </w:tc>
      </w:tr>
      <w:tr>
        <w:tblPrEx>
          <w:tblCellMar>
            <w:top w:w="0" w:type="dxa"/>
            <w:left w:w="108" w:type="dxa"/>
            <w:bottom w:w="0" w:type="dxa"/>
            <w:right w:w="108" w:type="dxa"/>
          </w:tblCellMar>
        </w:tblPrEx>
        <w:trPr>
          <w:trHeight w:val="810" w:hRule="atLeast"/>
        </w:trPr>
        <w:tc>
          <w:tcPr>
            <w:tcW w:w="751"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2"/>
              </w:rPr>
            </w:pPr>
            <w:r>
              <w:rPr>
                <w:rFonts w:hint="eastAsia" w:ascii="宋体" w:hAnsi="宋体" w:eastAsia="宋体" w:cs="宋体"/>
                <w:kern w:val="0"/>
                <w:sz w:val="22"/>
              </w:rPr>
              <w:t>6</w:t>
            </w:r>
          </w:p>
        </w:tc>
        <w:tc>
          <w:tcPr>
            <w:tcW w:w="1661" w:type="dxa"/>
            <w:tcBorders>
              <w:top w:val="nil"/>
              <w:left w:val="nil"/>
              <w:bottom w:val="single" w:color="auto" w:sz="4" w:space="0"/>
              <w:right w:val="single" w:color="auto" w:sz="4" w:space="0"/>
            </w:tcBorders>
            <w:noWrap w:val="0"/>
            <w:vAlign w:val="center"/>
          </w:tcPr>
          <w:p>
            <w:pPr>
              <w:spacing w:line="360" w:lineRule="auto"/>
              <w:jc w:val="left"/>
              <w:rPr>
                <w:rFonts w:ascii="宋体" w:hAnsi="宋体" w:cs="宋体"/>
                <w:sz w:val="22"/>
              </w:rPr>
            </w:pPr>
            <w:r>
              <w:rPr>
                <w:rFonts w:hint="eastAsia" w:ascii="宋体" w:hAnsi="宋体" w:cs="宋体"/>
                <w:sz w:val="22"/>
              </w:rPr>
              <w:t>低温蒸汽甲醛灭菌剂</w:t>
            </w:r>
          </w:p>
        </w:tc>
        <w:tc>
          <w:tcPr>
            <w:tcW w:w="1916"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2L/袋</w:t>
            </w:r>
          </w:p>
        </w:tc>
        <w:tc>
          <w:tcPr>
            <w:tcW w:w="673" w:type="dxa"/>
            <w:tcBorders>
              <w:top w:val="nil"/>
              <w:left w:val="nil"/>
              <w:bottom w:val="single" w:color="auto" w:sz="4" w:space="0"/>
              <w:right w:val="single" w:color="auto" w:sz="4" w:space="0"/>
            </w:tcBorders>
            <w:noWrap w:val="0"/>
            <w:vAlign w:val="center"/>
          </w:tcPr>
          <w:p>
            <w:pPr>
              <w:spacing w:line="360" w:lineRule="auto"/>
              <w:jc w:val="center"/>
            </w:pPr>
            <w:r>
              <w:rPr>
                <w:rFonts w:hint="eastAsia" w:ascii="宋体" w:hAnsi="宋体" w:eastAsia="宋体" w:cs="宋体"/>
                <w:kern w:val="0"/>
                <w:sz w:val="24"/>
                <w:szCs w:val="24"/>
              </w:rPr>
              <w:t>L</w:t>
            </w:r>
          </w:p>
        </w:tc>
        <w:tc>
          <w:tcPr>
            <w:tcW w:w="1083"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120</w:t>
            </w:r>
          </w:p>
        </w:tc>
        <w:tc>
          <w:tcPr>
            <w:tcW w:w="1412"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400</w:t>
            </w:r>
          </w:p>
        </w:tc>
        <w:tc>
          <w:tcPr>
            <w:tcW w:w="1511" w:type="dxa"/>
            <w:tcBorders>
              <w:top w:val="nil"/>
              <w:left w:val="nil"/>
              <w:bottom w:val="single" w:color="auto" w:sz="4" w:space="0"/>
              <w:right w:val="single" w:color="auto" w:sz="4" w:space="0"/>
            </w:tcBorders>
            <w:noWrap w:val="0"/>
            <w:vAlign w:val="center"/>
          </w:tcPr>
          <w:p>
            <w:pPr>
              <w:widowControl/>
              <w:spacing w:line="360" w:lineRule="auto"/>
              <w:jc w:val="center"/>
              <w:textAlignment w:val="center"/>
              <w:rPr>
                <w:rFonts w:ascii="宋体" w:hAnsi="宋体" w:cs="宋体"/>
                <w:sz w:val="22"/>
              </w:rPr>
            </w:pPr>
            <w:r>
              <w:rPr>
                <w:rFonts w:hint="eastAsia" w:ascii="宋体" w:hAnsi="宋体" w:eastAsia="宋体" w:cs="宋体"/>
                <w:color w:val="000000"/>
                <w:kern w:val="0"/>
                <w:sz w:val="24"/>
                <w:szCs w:val="24"/>
              </w:rPr>
              <w:t>48000</w:t>
            </w:r>
          </w:p>
        </w:tc>
      </w:tr>
      <w:tr>
        <w:tblPrEx>
          <w:tblCellMar>
            <w:top w:w="0" w:type="dxa"/>
            <w:left w:w="108" w:type="dxa"/>
            <w:bottom w:w="0" w:type="dxa"/>
            <w:right w:w="108" w:type="dxa"/>
          </w:tblCellMar>
        </w:tblPrEx>
        <w:trPr>
          <w:trHeight w:val="497" w:hRule="atLeast"/>
        </w:trPr>
        <w:tc>
          <w:tcPr>
            <w:tcW w:w="751" w:type="dxa"/>
            <w:vMerge w:val="restart"/>
            <w:tcBorders>
              <w:top w:val="nil"/>
              <w:left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2"/>
              </w:rPr>
            </w:pPr>
            <w:r>
              <w:rPr>
                <w:rFonts w:hint="eastAsia" w:ascii="宋体" w:hAnsi="宋体" w:eastAsia="宋体" w:cs="宋体"/>
                <w:kern w:val="0"/>
                <w:sz w:val="22"/>
              </w:rPr>
              <w:t>7</w:t>
            </w:r>
          </w:p>
        </w:tc>
        <w:tc>
          <w:tcPr>
            <w:tcW w:w="1661" w:type="dxa"/>
            <w:vMerge w:val="restart"/>
            <w:tcBorders>
              <w:top w:val="nil"/>
              <w:left w:val="nil"/>
              <w:right w:val="single" w:color="auto" w:sz="4" w:space="0"/>
            </w:tcBorders>
            <w:noWrap w:val="0"/>
            <w:vAlign w:val="center"/>
          </w:tcPr>
          <w:p>
            <w:pPr>
              <w:spacing w:line="360" w:lineRule="auto"/>
              <w:jc w:val="left"/>
              <w:rPr>
                <w:rFonts w:ascii="宋体" w:hAnsi="宋体" w:cs="宋体"/>
                <w:sz w:val="22"/>
              </w:rPr>
            </w:pPr>
            <w:r>
              <w:rPr>
                <w:rFonts w:hint="eastAsia" w:ascii="宋体" w:hAnsi="宋体" w:cs="宋体"/>
                <w:sz w:val="22"/>
              </w:rPr>
              <w:t>低温蒸汽甲醛灭菌包装袋卷</w:t>
            </w:r>
          </w:p>
        </w:tc>
        <w:tc>
          <w:tcPr>
            <w:tcW w:w="1916"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sz w:val="22"/>
              </w:rPr>
            </w:pPr>
            <w:r>
              <w:rPr>
                <w:rFonts w:hint="eastAsia" w:ascii="宋体" w:hAnsi="宋体" w:cs="宋体"/>
                <w:sz w:val="22"/>
              </w:rPr>
              <w:t>100MM*100M</w:t>
            </w:r>
          </w:p>
        </w:tc>
        <w:tc>
          <w:tcPr>
            <w:tcW w:w="673"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sz w:val="22"/>
              </w:rPr>
            </w:pPr>
            <w:r>
              <w:rPr>
                <w:rFonts w:hint="eastAsia" w:ascii="宋体" w:hAnsi="宋体" w:cs="宋体"/>
                <w:sz w:val="22"/>
              </w:rPr>
              <w:t>卷</w:t>
            </w:r>
          </w:p>
        </w:tc>
        <w:tc>
          <w:tcPr>
            <w:tcW w:w="1083"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220</w:t>
            </w:r>
          </w:p>
        </w:tc>
        <w:tc>
          <w:tcPr>
            <w:tcW w:w="1412"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50</w:t>
            </w:r>
          </w:p>
        </w:tc>
        <w:tc>
          <w:tcPr>
            <w:tcW w:w="1511" w:type="dxa"/>
            <w:tcBorders>
              <w:top w:val="nil"/>
              <w:left w:val="nil"/>
              <w:bottom w:val="single" w:color="auto" w:sz="4" w:space="0"/>
              <w:right w:val="single" w:color="auto" w:sz="4" w:space="0"/>
            </w:tcBorders>
            <w:noWrap w:val="0"/>
            <w:vAlign w:val="center"/>
          </w:tcPr>
          <w:p>
            <w:pPr>
              <w:widowControl/>
              <w:spacing w:line="360" w:lineRule="auto"/>
              <w:jc w:val="center"/>
              <w:textAlignment w:val="center"/>
              <w:rPr>
                <w:rFonts w:ascii="宋体" w:hAnsi="宋体" w:cs="宋体"/>
                <w:sz w:val="22"/>
              </w:rPr>
            </w:pPr>
            <w:r>
              <w:rPr>
                <w:rFonts w:hint="eastAsia" w:ascii="宋体" w:hAnsi="宋体" w:eastAsia="宋体" w:cs="宋体"/>
                <w:color w:val="000000"/>
                <w:kern w:val="0"/>
                <w:sz w:val="24"/>
                <w:szCs w:val="24"/>
              </w:rPr>
              <w:t>11000</w:t>
            </w:r>
          </w:p>
        </w:tc>
      </w:tr>
      <w:tr>
        <w:tblPrEx>
          <w:tblCellMar>
            <w:top w:w="0" w:type="dxa"/>
            <w:left w:w="108" w:type="dxa"/>
            <w:bottom w:w="0" w:type="dxa"/>
            <w:right w:w="108" w:type="dxa"/>
          </w:tblCellMar>
        </w:tblPrEx>
        <w:trPr>
          <w:trHeight w:val="505" w:hRule="atLeast"/>
        </w:trPr>
        <w:tc>
          <w:tcPr>
            <w:tcW w:w="751" w:type="dxa"/>
            <w:vMerge w:val="continue"/>
            <w:tcBorders>
              <w:left w:val="single" w:color="auto" w:sz="4" w:space="0"/>
              <w:right w:val="single" w:color="auto" w:sz="4" w:space="0"/>
            </w:tcBorders>
            <w:shd w:val="clear" w:color="000000" w:fill="FFFFFF"/>
            <w:noWrap w:val="0"/>
            <w:vAlign w:val="center"/>
          </w:tcPr>
          <w:p>
            <w:pPr>
              <w:spacing w:line="360" w:lineRule="auto"/>
              <w:jc w:val="center"/>
              <w:rPr>
                <w:rFonts w:ascii="宋体" w:hAnsi="宋体" w:cs="宋体"/>
                <w:sz w:val="22"/>
              </w:rPr>
            </w:pPr>
          </w:p>
        </w:tc>
        <w:tc>
          <w:tcPr>
            <w:tcW w:w="1661" w:type="dxa"/>
            <w:vMerge w:val="continue"/>
            <w:tcBorders>
              <w:left w:val="nil"/>
              <w:right w:val="single" w:color="auto" w:sz="4" w:space="0"/>
            </w:tcBorders>
            <w:shd w:val="clear" w:color="000000" w:fill="FFFFFF"/>
            <w:noWrap w:val="0"/>
            <w:vAlign w:val="center"/>
          </w:tcPr>
          <w:p>
            <w:pPr>
              <w:spacing w:line="360" w:lineRule="auto"/>
              <w:jc w:val="center"/>
              <w:rPr>
                <w:rFonts w:ascii="宋体" w:hAnsi="宋体" w:cs="宋体"/>
                <w:sz w:val="22"/>
              </w:rPr>
            </w:pPr>
          </w:p>
        </w:tc>
        <w:tc>
          <w:tcPr>
            <w:tcW w:w="1916"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ascii="宋体" w:hAnsi="宋体" w:cs="宋体"/>
                <w:sz w:val="22"/>
              </w:rPr>
            </w:pPr>
            <w:r>
              <w:rPr>
                <w:rFonts w:hint="eastAsia" w:ascii="宋体" w:hAnsi="宋体" w:cs="宋体"/>
                <w:sz w:val="22"/>
              </w:rPr>
              <w:t>150MM*100M</w:t>
            </w:r>
          </w:p>
        </w:tc>
        <w:tc>
          <w:tcPr>
            <w:tcW w:w="673" w:type="dxa"/>
            <w:tcBorders>
              <w:top w:val="nil"/>
              <w:left w:val="nil"/>
              <w:bottom w:val="single" w:color="auto" w:sz="4" w:space="0"/>
              <w:right w:val="single" w:color="auto" w:sz="4" w:space="0"/>
            </w:tcBorders>
            <w:shd w:val="clear" w:color="auto" w:fill="auto"/>
            <w:noWrap w:val="0"/>
            <w:vAlign w:val="center"/>
          </w:tcPr>
          <w:p>
            <w:pPr>
              <w:spacing w:line="360" w:lineRule="auto"/>
              <w:jc w:val="center"/>
            </w:pPr>
            <w:r>
              <w:rPr>
                <w:rFonts w:hint="eastAsia" w:ascii="宋体" w:hAnsi="宋体" w:cs="宋体"/>
                <w:sz w:val="22"/>
              </w:rPr>
              <w:t>卷</w:t>
            </w:r>
          </w:p>
        </w:tc>
        <w:tc>
          <w:tcPr>
            <w:tcW w:w="1083"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290</w:t>
            </w:r>
          </w:p>
        </w:tc>
        <w:tc>
          <w:tcPr>
            <w:tcW w:w="1412"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20</w:t>
            </w:r>
          </w:p>
        </w:tc>
        <w:tc>
          <w:tcPr>
            <w:tcW w:w="1511" w:type="dxa"/>
            <w:tcBorders>
              <w:top w:val="nil"/>
              <w:left w:val="nil"/>
              <w:bottom w:val="single" w:color="auto" w:sz="4" w:space="0"/>
              <w:right w:val="single" w:color="auto" w:sz="4" w:space="0"/>
            </w:tcBorders>
            <w:noWrap w:val="0"/>
            <w:vAlign w:val="center"/>
          </w:tcPr>
          <w:p>
            <w:pPr>
              <w:widowControl/>
              <w:spacing w:line="360" w:lineRule="auto"/>
              <w:jc w:val="center"/>
              <w:textAlignment w:val="center"/>
              <w:rPr>
                <w:rFonts w:ascii="宋体" w:hAnsi="宋体" w:cs="宋体"/>
                <w:sz w:val="22"/>
              </w:rPr>
            </w:pPr>
            <w:r>
              <w:rPr>
                <w:rFonts w:hint="eastAsia" w:ascii="宋体" w:hAnsi="宋体" w:eastAsia="宋体" w:cs="宋体"/>
                <w:color w:val="000000"/>
                <w:kern w:val="0"/>
                <w:sz w:val="24"/>
                <w:szCs w:val="24"/>
              </w:rPr>
              <w:t>5800</w:t>
            </w:r>
          </w:p>
        </w:tc>
      </w:tr>
      <w:tr>
        <w:tblPrEx>
          <w:tblCellMar>
            <w:top w:w="0" w:type="dxa"/>
            <w:left w:w="108" w:type="dxa"/>
            <w:bottom w:w="0" w:type="dxa"/>
            <w:right w:w="108" w:type="dxa"/>
          </w:tblCellMar>
        </w:tblPrEx>
        <w:trPr>
          <w:trHeight w:val="540" w:hRule="atLeast"/>
        </w:trPr>
        <w:tc>
          <w:tcPr>
            <w:tcW w:w="751" w:type="dxa"/>
            <w:vMerge w:val="continue"/>
            <w:tcBorders>
              <w:left w:val="single" w:color="auto" w:sz="4" w:space="0"/>
              <w:right w:val="single" w:color="auto" w:sz="4" w:space="0"/>
            </w:tcBorders>
            <w:noWrap w:val="0"/>
            <w:vAlign w:val="center"/>
          </w:tcPr>
          <w:p>
            <w:pPr>
              <w:spacing w:line="360" w:lineRule="auto"/>
              <w:jc w:val="center"/>
              <w:rPr>
                <w:rFonts w:ascii="宋体" w:hAnsi="宋体" w:cs="宋体"/>
                <w:sz w:val="22"/>
              </w:rPr>
            </w:pPr>
          </w:p>
        </w:tc>
        <w:tc>
          <w:tcPr>
            <w:tcW w:w="1661" w:type="dxa"/>
            <w:vMerge w:val="continue"/>
            <w:tcBorders>
              <w:left w:val="nil"/>
              <w:right w:val="single" w:color="auto" w:sz="4" w:space="0"/>
            </w:tcBorders>
            <w:noWrap w:val="0"/>
            <w:vAlign w:val="center"/>
          </w:tcPr>
          <w:p>
            <w:pPr>
              <w:spacing w:line="360" w:lineRule="auto"/>
              <w:jc w:val="center"/>
              <w:rPr>
                <w:rFonts w:ascii="宋体" w:hAnsi="宋体" w:cs="宋体"/>
                <w:sz w:val="22"/>
              </w:rPr>
            </w:pPr>
          </w:p>
        </w:tc>
        <w:tc>
          <w:tcPr>
            <w:tcW w:w="1916"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s="宋体"/>
                <w:sz w:val="22"/>
              </w:rPr>
            </w:pPr>
            <w:r>
              <w:rPr>
                <w:rFonts w:hint="eastAsia" w:ascii="宋体" w:hAnsi="宋体" w:cs="宋体"/>
                <w:sz w:val="22"/>
              </w:rPr>
              <w:t>200MM*100M</w:t>
            </w:r>
          </w:p>
        </w:tc>
        <w:tc>
          <w:tcPr>
            <w:tcW w:w="673" w:type="dxa"/>
            <w:tcBorders>
              <w:top w:val="single" w:color="auto" w:sz="4" w:space="0"/>
              <w:left w:val="nil"/>
              <w:bottom w:val="single" w:color="auto" w:sz="4" w:space="0"/>
              <w:right w:val="single" w:color="auto" w:sz="4" w:space="0"/>
            </w:tcBorders>
            <w:noWrap w:val="0"/>
            <w:vAlign w:val="center"/>
          </w:tcPr>
          <w:p>
            <w:pPr>
              <w:spacing w:line="360" w:lineRule="auto"/>
              <w:jc w:val="center"/>
            </w:pPr>
            <w:r>
              <w:rPr>
                <w:rFonts w:hint="eastAsia" w:ascii="宋体" w:hAnsi="宋体" w:cs="宋体"/>
                <w:sz w:val="22"/>
              </w:rPr>
              <w:t>卷</w:t>
            </w:r>
          </w:p>
        </w:tc>
        <w:tc>
          <w:tcPr>
            <w:tcW w:w="108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370</w:t>
            </w:r>
          </w:p>
        </w:tc>
        <w:tc>
          <w:tcPr>
            <w:tcW w:w="1412"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30</w:t>
            </w:r>
          </w:p>
        </w:tc>
        <w:tc>
          <w:tcPr>
            <w:tcW w:w="1511"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textAlignment w:val="center"/>
              <w:rPr>
                <w:rFonts w:ascii="宋体" w:hAnsi="宋体" w:cs="宋体"/>
                <w:sz w:val="22"/>
              </w:rPr>
            </w:pPr>
            <w:r>
              <w:rPr>
                <w:rFonts w:hint="eastAsia" w:ascii="宋体" w:hAnsi="宋体" w:eastAsia="宋体" w:cs="宋体"/>
                <w:color w:val="000000"/>
                <w:kern w:val="0"/>
                <w:sz w:val="24"/>
                <w:szCs w:val="24"/>
              </w:rPr>
              <w:t>11100</w:t>
            </w:r>
          </w:p>
        </w:tc>
      </w:tr>
      <w:tr>
        <w:tblPrEx>
          <w:tblCellMar>
            <w:top w:w="0" w:type="dxa"/>
            <w:left w:w="108" w:type="dxa"/>
            <w:bottom w:w="0" w:type="dxa"/>
            <w:right w:w="108" w:type="dxa"/>
          </w:tblCellMar>
        </w:tblPrEx>
        <w:trPr>
          <w:trHeight w:val="540" w:hRule="atLeast"/>
        </w:trPr>
        <w:tc>
          <w:tcPr>
            <w:tcW w:w="751" w:type="dxa"/>
            <w:vMerge w:val="continue"/>
            <w:tcBorders>
              <w:left w:val="single" w:color="auto" w:sz="4" w:space="0"/>
              <w:right w:val="single" w:color="auto" w:sz="4" w:space="0"/>
            </w:tcBorders>
            <w:noWrap w:val="0"/>
            <w:vAlign w:val="center"/>
          </w:tcPr>
          <w:p>
            <w:pPr>
              <w:spacing w:line="360" w:lineRule="auto"/>
              <w:jc w:val="center"/>
              <w:rPr>
                <w:rFonts w:ascii="宋体" w:hAnsi="宋体" w:cs="宋体"/>
                <w:sz w:val="22"/>
              </w:rPr>
            </w:pPr>
          </w:p>
        </w:tc>
        <w:tc>
          <w:tcPr>
            <w:tcW w:w="1661" w:type="dxa"/>
            <w:vMerge w:val="continue"/>
            <w:tcBorders>
              <w:left w:val="nil"/>
              <w:right w:val="single" w:color="auto" w:sz="4" w:space="0"/>
            </w:tcBorders>
            <w:noWrap w:val="0"/>
            <w:vAlign w:val="center"/>
          </w:tcPr>
          <w:p>
            <w:pPr>
              <w:spacing w:line="360" w:lineRule="auto"/>
              <w:jc w:val="center"/>
              <w:rPr>
                <w:rFonts w:ascii="宋体" w:hAnsi="宋体" w:cs="宋体"/>
                <w:sz w:val="22"/>
              </w:rPr>
            </w:pPr>
          </w:p>
        </w:tc>
        <w:tc>
          <w:tcPr>
            <w:tcW w:w="1916"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s="宋体"/>
                <w:sz w:val="22"/>
              </w:rPr>
            </w:pPr>
            <w:r>
              <w:rPr>
                <w:rFonts w:hint="eastAsia" w:ascii="宋体" w:hAnsi="宋体" w:cs="宋体"/>
                <w:sz w:val="22"/>
              </w:rPr>
              <w:t>250MM*100M</w:t>
            </w:r>
          </w:p>
        </w:tc>
        <w:tc>
          <w:tcPr>
            <w:tcW w:w="673" w:type="dxa"/>
            <w:tcBorders>
              <w:top w:val="single" w:color="auto" w:sz="4" w:space="0"/>
              <w:left w:val="nil"/>
              <w:bottom w:val="single" w:color="auto" w:sz="4" w:space="0"/>
              <w:right w:val="single" w:color="auto" w:sz="4" w:space="0"/>
            </w:tcBorders>
            <w:noWrap w:val="0"/>
            <w:vAlign w:val="center"/>
          </w:tcPr>
          <w:p>
            <w:pPr>
              <w:spacing w:line="360" w:lineRule="auto"/>
              <w:jc w:val="center"/>
            </w:pPr>
            <w:r>
              <w:rPr>
                <w:rFonts w:hint="eastAsia" w:ascii="宋体" w:hAnsi="宋体" w:cs="宋体"/>
                <w:sz w:val="22"/>
              </w:rPr>
              <w:t>卷</w:t>
            </w:r>
          </w:p>
        </w:tc>
        <w:tc>
          <w:tcPr>
            <w:tcW w:w="108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460</w:t>
            </w:r>
          </w:p>
        </w:tc>
        <w:tc>
          <w:tcPr>
            <w:tcW w:w="1412"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20</w:t>
            </w:r>
          </w:p>
        </w:tc>
        <w:tc>
          <w:tcPr>
            <w:tcW w:w="1511"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textAlignment w:val="center"/>
              <w:rPr>
                <w:rFonts w:ascii="宋体" w:hAnsi="宋体" w:cs="宋体"/>
                <w:sz w:val="22"/>
              </w:rPr>
            </w:pPr>
            <w:r>
              <w:rPr>
                <w:rFonts w:hint="eastAsia" w:ascii="宋体" w:hAnsi="宋体" w:eastAsia="宋体" w:cs="宋体"/>
                <w:color w:val="000000"/>
                <w:kern w:val="0"/>
                <w:sz w:val="24"/>
                <w:szCs w:val="24"/>
              </w:rPr>
              <w:t>9200</w:t>
            </w:r>
          </w:p>
        </w:tc>
      </w:tr>
      <w:tr>
        <w:tblPrEx>
          <w:tblCellMar>
            <w:top w:w="0" w:type="dxa"/>
            <w:left w:w="108" w:type="dxa"/>
            <w:bottom w:w="0" w:type="dxa"/>
            <w:right w:w="108" w:type="dxa"/>
          </w:tblCellMar>
        </w:tblPrEx>
        <w:trPr>
          <w:trHeight w:val="540" w:hRule="atLeast"/>
        </w:trPr>
        <w:tc>
          <w:tcPr>
            <w:tcW w:w="751" w:type="dxa"/>
            <w:vMerge w:val="continue"/>
            <w:tcBorders>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2"/>
              </w:rPr>
            </w:pPr>
          </w:p>
        </w:tc>
        <w:tc>
          <w:tcPr>
            <w:tcW w:w="1661" w:type="dxa"/>
            <w:vMerge w:val="continue"/>
            <w:tcBorders>
              <w:left w:val="nil"/>
              <w:bottom w:val="single" w:color="auto" w:sz="4" w:space="0"/>
              <w:right w:val="single" w:color="auto" w:sz="4" w:space="0"/>
            </w:tcBorders>
            <w:noWrap w:val="0"/>
            <w:vAlign w:val="center"/>
          </w:tcPr>
          <w:p>
            <w:pPr>
              <w:spacing w:line="360" w:lineRule="auto"/>
              <w:jc w:val="center"/>
              <w:rPr>
                <w:rFonts w:ascii="宋体" w:hAnsi="宋体" w:cs="宋体"/>
                <w:sz w:val="22"/>
              </w:rPr>
            </w:pPr>
          </w:p>
        </w:tc>
        <w:tc>
          <w:tcPr>
            <w:tcW w:w="1916"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s="宋体"/>
                <w:sz w:val="22"/>
              </w:rPr>
            </w:pPr>
            <w:r>
              <w:rPr>
                <w:rFonts w:hint="eastAsia" w:ascii="宋体" w:hAnsi="宋体" w:cs="宋体"/>
                <w:sz w:val="22"/>
              </w:rPr>
              <w:t>300MM*100M</w:t>
            </w:r>
          </w:p>
        </w:tc>
        <w:tc>
          <w:tcPr>
            <w:tcW w:w="673" w:type="dxa"/>
            <w:tcBorders>
              <w:top w:val="single" w:color="auto" w:sz="4" w:space="0"/>
              <w:left w:val="nil"/>
              <w:bottom w:val="single" w:color="auto" w:sz="4" w:space="0"/>
              <w:right w:val="single" w:color="auto" w:sz="4" w:space="0"/>
            </w:tcBorders>
            <w:noWrap w:val="0"/>
            <w:vAlign w:val="center"/>
          </w:tcPr>
          <w:p>
            <w:pPr>
              <w:spacing w:line="360" w:lineRule="auto"/>
              <w:jc w:val="center"/>
            </w:pPr>
            <w:r>
              <w:rPr>
                <w:rFonts w:hint="eastAsia" w:ascii="宋体" w:hAnsi="宋体" w:cs="宋体"/>
                <w:sz w:val="22"/>
              </w:rPr>
              <w:t>卷</w:t>
            </w:r>
          </w:p>
        </w:tc>
        <w:tc>
          <w:tcPr>
            <w:tcW w:w="108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590</w:t>
            </w:r>
          </w:p>
        </w:tc>
        <w:tc>
          <w:tcPr>
            <w:tcW w:w="1412"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s="宋体"/>
                <w:color w:val="auto"/>
                <w:sz w:val="22"/>
              </w:rPr>
            </w:pPr>
            <w:r>
              <w:rPr>
                <w:rFonts w:hint="eastAsia" w:ascii="宋体" w:hAnsi="宋体" w:cs="宋体"/>
                <w:color w:val="auto"/>
                <w:sz w:val="22"/>
              </w:rPr>
              <w:t>20</w:t>
            </w:r>
          </w:p>
        </w:tc>
        <w:tc>
          <w:tcPr>
            <w:tcW w:w="1511"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textAlignment w:val="center"/>
              <w:rPr>
                <w:rFonts w:ascii="宋体" w:hAnsi="宋体" w:cs="宋体"/>
                <w:sz w:val="22"/>
              </w:rPr>
            </w:pPr>
            <w:r>
              <w:rPr>
                <w:rFonts w:hint="eastAsia" w:ascii="宋体" w:hAnsi="宋体" w:eastAsia="宋体" w:cs="宋体"/>
                <w:color w:val="000000"/>
                <w:kern w:val="0"/>
                <w:sz w:val="24"/>
                <w:szCs w:val="24"/>
              </w:rPr>
              <w:t>11800</w:t>
            </w:r>
          </w:p>
        </w:tc>
      </w:tr>
    </w:tbl>
    <w:p>
      <w:pPr>
        <w:pStyle w:val="13"/>
        <w:widowControl/>
        <w:shd w:val="clear" w:color="auto" w:fill="FFFFFF"/>
        <w:spacing w:beforeAutospacing="0" w:afterAutospacing="0" w:line="360" w:lineRule="auto"/>
        <w:rPr>
          <w:rFonts w:hint="eastAsia" w:ascii="宋体" w:hAnsi="宋体" w:cs="宋体"/>
          <w:szCs w:val="24"/>
          <w:highlight w:val="none"/>
          <w:shd w:val="clear" w:color="auto" w:fill="FFFFFF"/>
        </w:rPr>
      </w:pPr>
      <w:r>
        <w:rPr>
          <w:rFonts w:hint="eastAsia" w:ascii="宋体" w:hAnsi="宋体" w:cs="宋体"/>
          <w:szCs w:val="24"/>
          <w:highlight w:val="none"/>
          <w:shd w:val="clear" w:color="auto" w:fill="FFFFFF"/>
          <w:lang w:val="en-US" w:eastAsia="zh-CN"/>
        </w:rPr>
        <w:t>13</w:t>
      </w:r>
      <w:r>
        <w:rPr>
          <w:rFonts w:hint="eastAsia" w:ascii="宋体" w:hAnsi="宋体" w:cs="宋体"/>
          <w:szCs w:val="24"/>
          <w:highlight w:val="none"/>
          <w:shd w:val="clear" w:color="auto" w:fill="FFFFFF"/>
        </w:rPr>
        <w:t>、申请人的资格要求：</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1.满足《中华人民共和国政府采购法》第二十二条规定；</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2.落实政府采购政策需满足的资格要求：无</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 xml:space="preserve">3.本项目的特定资格要求： </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3.1供应商须具有有效的营业执照；</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3.2若投产品属于医疗器械，供应商如为代理商须具有有效的医疗器械经营许可证或备案凭证；如所投产品制造商在国内注册成立的，代理商投标时还须提供制造商的有效医疗器械生产许可证或备案凭证；供应商如为制造商须具有有效医疗器械生产许可证或备案凭证和医疗器械经营许可证或备案凭证；</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 xml:space="preserve">3.3若投标人所投产品如为一类医疗器械，须提供有效的医疗器械备案凭证；投标人所投产品如为二类或三类医疗器械，须提供有效的医疗器械注册证； </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3.4所投产品如属于安徽省医药集中采购中心平台范围交易目录的产品须提供流水号及限价，备案目录提供流水号；不属于提供情况说明函。</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3.5投标人须执行《安徽省公立医疗机构医用耗材采购推行“两票制”实施意见》的相关规定及当地相关政策；提供承诺书。</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3.6本项目采用资格后审，不接受联合体投标；</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3.7投标供应商存在以下不良信用记录情形之一的，不得推荐为成交候选供应商，不得确定为成交供应商：</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①供应商被人民法院列入失信被执行人的；</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②供应商或其法定代表人或拟派项目负责人被人民检察院列入行贿犯罪档案的；</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③供应商被工商行政管理部门列入企业经营异常名录的；</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④供应商被税务部门列入重大税收违法案件当事人名单的；</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⑤供应商被政府采购监管部门列入政府采购严重违法失信行为记录名单的。</w:t>
      </w:r>
    </w:p>
    <w:p>
      <w:pPr>
        <w:rPr>
          <w:rFonts w:hint="eastAsia"/>
          <w:sz w:val="44"/>
          <w:szCs w:val="44"/>
          <w:lang w:val="en-US" w:eastAsia="zh-CN"/>
        </w:rPr>
      </w:pPr>
      <w:r>
        <w:rPr>
          <w:rFonts w:hint="eastAsia"/>
          <w:sz w:val="44"/>
          <w:szCs w:val="44"/>
          <w:lang w:val="en-US" w:eastAsia="zh-CN"/>
        </w:rPr>
        <w:br w:type="page"/>
      </w:r>
    </w:p>
    <w:p>
      <w:pPr>
        <w:spacing w:line="120" w:lineRule="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蚌埠市第三人民医院甲醛灭菌相关耗材一批采购项目采购需求</w:t>
      </w:r>
    </w:p>
    <w:p>
      <w:pPr>
        <w:pStyle w:val="2"/>
        <w:ind w:left="0" w:leftChars="0" w:firstLine="0" w:firstLineChars="0"/>
        <w:rPr>
          <w:rFonts w:hint="eastAsia" w:ascii="仿宋" w:hAnsi="仿宋" w:eastAsia="仿宋" w:cs="仿宋"/>
          <w:b/>
          <w:bCs/>
          <w:sz w:val="32"/>
          <w:szCs w:val="32"/>
        </w:rPr>
      </w:pPr>
      <w:r>
        <w:rPr>
          <w:rFonts w:hint="eastAsia" w:ascii="仿宋" w:hAnsi="仿宋" w:eastAsia="仿宋" w:cs="仿宋"/>
          <w:b/>
          <w:bCs/>
          <w:sz w:val="32"/>
          <w:szCs w:val="32"/>
        </w:rPr>
        <w:t>综合参数</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规格要求请见附件。</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报价：保证同品牌报价不得高于省属医院且不得高于本市同级别医院，差价随时调整。</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提供最新一批安徽省27位医保收费代码（如是计费耗材）。</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提供至少三家三甲医院使用业绩。</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所投产品如属于安徽省医药集中采购中心平台范围交易目录的产品须提供流水号及限价，备案目录提供流水号。</w:t>
      </w:r>
      <w:r>
        <w:rPr>
          <w:rFonts w:hint="eastAsia" w:ascii="宋体" w:hAnsi="宋体"/>
          <w:sz w:val="24"/>
          <w:szCs w:val="28"/>
        </w:rPr>
        <w:t>投标人须执行《安徽省公立医疗机构医用耗材采购推行“两票制”实施意见》的相关规定及当地相关政策。</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合同签署：中标后试用达到要求后签订合同。服务期3年，采用1+1+1模式。</w:t>
      </w:r>
    </w:p>
    <w:p>
      <w:pPr>
        <w:pStyle w:val="2"/>
        <w:spacing w:line="360" w:lineRule="auto"/>
        <w:ind w:left="0" w:leftChars="0" w:firstLine="240" w:firstLineChars="100"/>
        <w:rPr>
          <w:rFonts w:hint="eastAsia" w:ascii="Helvetica Neue" w:hAnsi="Helvetica Neue" w:eastAsia="宋体" w:cs="Helvetica Neue"/>
          <w:kern w:val="0"/>
          <w:sz w:val="24"/>
          <w:szCs w:val="24"/>
          <w:lang w:val="en-US" w:eastAsia="zh-CN" w:bidi="ar-SA"/>
        </w:rPr>
      </w:pPr>
      <w:r>
        <w:rPr>
          <w:rFonts w:hint="eastAsia" w:ascii="Helvetica Neue" w:hAnsi="Helvetica Neue" w:eastAsia="宋体" w:cs="Helvetica Neue"/>
          <w:kern w:val="0"/>
          <w:sz w:val="24"/>
          <w:szCs w:val="24"/>
          <w:lang w:val="en-US" w:eastAsia="zh-CN" w:bidi="ar-SA"/>
        </w:rPr>
        <w:t>7、费用：本项目价格包含我院SPD供应链配送（配送费2.5%）。</w:t>
      </w:r>
    </w:p>
    <w:tbl>
      <w:tblPr>
        <w:tblStyle w:val="15"/>
        <w:tblpPr w:leftFromText="180" w:rightFromText="180" w:vertAnchor="text" w:horzAnchor="page" w:tblpX="105" w:tblpY="736"/>
        <w:tblOverlap w:val="never"/>
        <w:tblW w:w="11775" w:type="dxa"/>
        <w:tblInd w:w="0" w:type="dxa"/>
        <w:tblLayout w:type="autofit"/>
        <w:tblCellMar>
          <w:top w:w="0" w:type="dxa"/>
          <w:left w:w="108" w:type="dxa"/>
          <w:bottom w:w="0" w:type="dxa"/>
          <w:right w:w="108" w:type="dxa"/>
        </w:tblCellMar>
      </w:tblPr>
      <w:tblGrid>
        <w:gridCol w:w="619"/>
        <w:gridCol w:w="1369"/>
        <w:gridCol w:w="1580"/>
        <w:gridCol w:w="555"/>
        <w:gridCol w:w="739"/>
        <w:gridCol w:w="899"/>
        <w:gridCol w:w="965"/>
        <w:gridCol w:w="902"/>
        <w:gridCol w:w="4147"/>
      </w:tblGrid>
      <w:tr>
        <w:tblPrEx>
          <w:tblCellMar>
            <w:top w:w="0" w:type="dxa"/>
            <w:left w:w="108" w:type="dxa"/>
            <w:bottom w:w="0" w:type="dxa"/>
            <w:right w:w="108" w:type="dxa"/>
          </w:tblCellMar>
        </w:tblPrEx>
        <w:trPr>
          <w:trHeight w:val="1126" w:hRule="atLeast"/>
        </w:trPr>
        <w:tc>
          <w:tcPr>
            <w:tcW w:w="61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序号</w:t>
            </w:r>
          </w:p>
        </w:tc>
        <w:tc>
          <w:tcPr>
            <w:tcW w:w="136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品名</w:t>
            </w:r>
          </w:p>
        </w:tc>
        <w:tc>
          <w:tcPr>
            <w:tcW w:w="158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规格（相当于）</w:t>
            </w:r>
          </w:p>
        </w:tc>
        <w:tc>
          <w:tcPr>
            <w:tcW w:w="555"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单位</w:t>
            </w:r>
          </w:p>
        </w:tc>
        <w:tc>
          <w:tcPr>
            <w:tcW w:w="73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限价/元</w:t>
            </w:r>
          </w:p>
        </w:tc>
        <w:tc>
          <w:tcPr>
            <w:tcW w:w="89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年度预计使用量</w:t>
            </w:r>
          </w:p>
        </w:tc>
        <w:tc>
          <w:tcPr>
            <w:tcW w:w="965"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年度预计采购金额/元</w:t>
            </w:r>
          </w:p>
        </w:tc>
        <w:tc>
          <w:tcPr>
            <w:tcW w:w="902"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是否提供样品</w:t>
            </w:r>
          </w:p>
        </w:tc>
        <w:tc>
          <w:tcPr>
            <w:tcW w:w="4147"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要求</w:t>
            </w:r>
          </w:p>
        </w:tc>
      </w:tr>
      <w:tr>
        <w:tblPrEx>
          <w:tblCellMar>
            <w:top w:w="0" w:type="dxa"/>
            <w:left w:w="108" w:type="dxa"/>
            <w:bottom w:w="0" w:type="dxa"/>
            <w:right w:w="108" w:type="dxa"/>
          </w:tblCellMar>
        </w:tblPrEx>
        <w:trPr>
          <w:trHeight w:val="754" w:hRule="atLeast"/>
        </w:trPr>
        <w:tc>
          <w:tcPr>
            <w:tcW w:w="61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369" w:type="dxa"/>
            <w:tcBorders>
              <w:top w:val="nil"/>
              <w:left w:val="nil"/>
              <w:bottom w:val="single" w:color="auto" w:sz="4" w:space="0"/>
              <w:right w:val="single" w:color="auto" w:sz="4" w:space="0"/>
            </w:tcBorders>
            <w:noWrap w:val="0"/>
            <w:vAlign w:val="center"/>
          </w:tcPr>
          <w:p>
            <w:pPr>
              <w:rPr>
                <w:rFonts w:ascii="宋体" w:hAnsi="宋体" w:cs="宋体"/>
                <w:sz w:val="22"/>
              </w:rPr>
            </w:pPr>
            <w:r>
              <w:rPr>
                <w:rFonts w:hint="eastAsia" w:ascii="宋体" w:hAnsi="宋体" w:cs="宋体"/>
                <w:sz w:val="22"/>
              </w:rPr>
              <w:t>甲醛灭菌化学指示卡</w:t>
            </w:r>
          </w:p>
        </w:tc>
        <w:tc>
          <w:tcPr>
            <w:tcW w:w="1580"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200片/盒</w:t>
            </w:r>
          </w:p>
        </w:tc>
        <w:tc>
          <w:tcPr>
            <w:tcW w:w="555"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2"/>
              </w:rPr>
            </w:pPr>
            <w:r>
              <w:rPr>
                <w:rFonts w:hint="eastAsia" w:ascii="宋体" w:hAnsi="宋体" w:eastAsia="宋体" w:cs="宋体"/>
                <w:kern w:val="0"/>
                <w:sz w:val="24"/>
                <w:szCs w:val="24"/>
              </w:rPr>
              <w:t>片</w:t>
            </w:r>
          </w:p>
        </w:tc>
        <w:tc>
          <w:tcPr>
            <w:tcW w:w="739" w:type="dxa"/>
            <w:tcBorders>
              <w:top w:val="nil"/>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1.3</w:t>
            </w:r>
          </w:p>
        </w:tc>
        <w:tc>
          <w:tcPr>
            <w:tcW w:w="899" w:type="dxa"/>
            <w:tcBorders>
              <w:top w:val="nil"/>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6000</w:t>
            </w:r>
          </w:p>
        </w:tc>
        <w:tc>
          <w:tcPr>
            <w:tcW w:w="965" w:type="dxa"/>
            <w:tcBorders>
              <w:top w:val="nil"/>
              <w:left w:val="nil"/>
              <w:bottom w:val="single" w:color="auto" w:sz="4" w:space="0"/>
              <w:right w:val="single" w:color="auto" w:sz="4" w:space="0"/>
            </w:tcBorders>
            <w:noWrap w:val="0"/>
            <w:vAlign w:val="center"/>
          </w:tcPr>
          <w:p>
            <w:pPr>
              <w:widowControl/>
              <w:jc w:val="center"/>
              <w:textAlignment w:val="center"/>
              <w:rPr>
                <w:rFonts w:ascii="宋体" w:hAnsi="宋体" w:cs="宋体"/>
                <w:sz w:val="22"/>
              </w:rPr>
            </w:pPr>
            <w:r>
              <w:rPr>
                <w:rFonts w:hint="eastAsia" w:ascii="宋体" w:hAnsi="宋体" w:eastAsia="宋体" w:cs="宋体"/>
                <w:color w:val="000000"/>
                <w:kern w:val="0"/>
                <w:sz w:val="24"/>
                <w:szCs w:val="24"/>
              </w:rPr>
              <w:t>7800</w:t>
            </w:r>
          </w:p>
        </w:tc>
        <w:tc>
          <w:tcPr>
            <w:tcW w:w="902" w:type="dxa"/>
            <w:tcBorders>
              <w:top w:val="nil"/>
              <w:left w:val="nil"/>
              <w:bottom w:val="single" w:color="auto" w:sz="4" w:space="0"/>
              <w:right w:val="single" w:color="auto" w:sz="4" w:space="0"/>
            </w:tcBorders>
            <w:noWrap w:val="0"/>
            <w:vAlign w:val="center"/>
          </w:tcPr>
          <w:p>
            <w:pPr>
              <w:jc w:val="center"/>
            </w:pPr>
            <w:r>
              <w:rPr>
                <w:rFonts w:hint="eastAsia" w:ascii="宋体" w:hAnsi="宋体" w:eastAsia="宋体" w:cs="宋体"/>
                <w:kern w:val="0"/>
                <w:sz w:val="22"/>
              </w:rPr>
              <w:t>是</w:t>
            </w:r>
          </w:p>
        </w:tc>
        <w:tc>
          <w:tcPr>
            <w:tcW w:w="4147" w:type="dxa"/>
            <w:tcBorders>
              <w:top w:val="nil"/>
              <w:left w:val="nil"/>
              <w:bottom w:val="single" w:color="auto" w:sz="4" w:space="0"/>
              <w:right w:val="single" w:color="auto" w:sz="4" w:space="0"/>
            </w:tcBorders>
            <w:noWrap w:val="0"/>
            <w:vAlign w:val="center"/>
          </w:tcPr>
          <w:p>
            <w:pPr>
              <w:widowControl/>
              <w:jc w:val="left"/>
              <w:rPr>
                <w:rFonts w:ascii="宋体" w:hAnsi="宋体" w:eastAsia="宋体" w:cs="宋体"/>
                <w:kern w:val="0"/>
                <w:sz w:val="22"/>
              </w:rPr>
            </w:pPr>
            <w:r>
              <w:rPr>
                <w:rFonts w:hint="eastAsia" w:ascii="宋体" w:hAnsi="宋体" w:eastAsia="宋体" w:cs="宋体"/>
                <w:kern w:val="0"/>
                <w:sz w:val="22"/>
              </w:rPr>
              <w:t>1.符合GB1828.1的四类类指示物标准；</w:t>
            </w:r>
          </w:p>
        </w:tc>
      </w:tr>
      <w:tr>
        <w:tblPrEx>
          <w:tblCellMar>
            <w:top w:w="0" w:type="dxa"/>
            <w:left w:w="108" w:type="dxa"/>
            <w:bottom w:w="0" w:type="dxa"/>
            <w:right w:w="108" w:type="dxa"/>
          </w:tblCellMar>
        </w:tblPrEx>
        <w:trPr>
          <w:trHeight w:val="1497" w:hRule="atLeast"/>
        </w:trPr>
        <w:tc>
          <w:tcPr>
            <w:tcW w:w="61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369" w:type="dxa"/>
            <w:tcBorders>
              <w:top w:val="nil"/>
              <w:left w:val="nil"/>
              <w:bottom w:val="single" w:color="auto" w:sz="4" w:space="0"/>
              <w:right w:val="single" w:color="auto" w:sz="4" w:space="0"/>
            </w:tcBorders>
            <w:noWrap w:val="0"/>
            <w:vAlign w:val="center"/>
          </w:tcPr>
          <w:p>
            <w:pPr>
              <w:rPr>
                <w:rFonts w:ascii="宋体" w:hAnsi="宋体" w:cs="宋体"/>
                <w:sz w:val="22"/>
              </w:rPr>
            </w:pPr>
            <w:r>
              <w:rPr>
                <w:rFonts w:hint="eastAsia" w:ascii="宋体" w:hAnsi="宋体" w:cs="宋体"/>
                <w:sz w:val="22"/>
              </w:rPr>
              <w:t>甲醛灭菌化学验证装置</w:t>
            </w:r>
          </w:p>
        </w:tc>
        <w:tc>
          <w:tcPr>
            <w:tcW w:w="1580"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100次/盒</w:t>
            </w:r>
          </w:p>
        </w:tc>
        <w:tc>
          <w:tcPr>
            <w:tcW w:w="555"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2"/>
              </w:rPr>
            </w:pPr>
            <w:r>
              <w:rPr>
                <w:rFonts w:hint="eastAsia" w:ascii="宋体" w:hAnsi="宋体" w:eastAsia="宋体" w:cs="宋体"/>
                <w:kern w:val="0"/>
                <w:sz w:val="24"/>
                <w:szCs w:val="24"/>
              </w:rPr>
              <w:t>次</w:t>
            </w:r>
          </w:p>
        </w:tc>
        <w:tc>
          <w:tcPr>
            <w:tcW w:w="739" w:type="dxa"/>
            <w:tcBorders>
              <w:top w:val="nil"/>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18</w:t>
            </w:r>
          </w:p>
        </w:tc>
        <w:tc>
          <w:tcPr>
            <w:tcW w:w="899" w:type="dxa"/>
            <w:tcBorders>
              <w:top w:val="nil"/>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600</w:t>
            </w:r>
          </w:p>
        </w:tc>
        <w:tc>
          <w:tcPr>
            <w:tcW w:w="965" w:type="dxa"/>
            <w:tcBorders>
              <w:top w:val="nil"/>
              <w:left w:val="nil"/>
              <w:bottom w:val="single" w:color="auto" w:sz="4" w:space="0"/>
              <w:right w:val="single" w:color="auto" w:sz="4" w:space="0"/>
            </w:tcBorders>
            <w:noWrap w:val="0"/>
            <w:vAlign w:val="center"/>
          </w:tcPr>
          <w:p>
            <w:pPr>
              <w:widowControl/>
              <w:jc w:val="center"/>
              <w:textAlignment w:val="center"/>
              <w:rPr>
                <w:rFonts w:ascii="宋体" w:hAnsi="宋体" w:cs="宋体"/>
                <w:sz w:val="22"/>
              </w:rPr>
            </w:pPr>
            <w:r>
              <w:rPr>
                <w:rFonts w:hint="eastAsia" w:ascii="宋体" w:hAnsi="宋体" w:eastAsia="宋体" w:cs="宋体"/>
                <w:color w:val="000000"/>
                <w:kern w:val="0"/>
                <w:sz w:val="24"/>
                <w:szCs w:val="24"/>
              </w:rPr>
              <w:t>10800</w:t>
            </w:r>
          </w:p>
        </w:tc>
        <w:tc>
          <w:tcPr>
            <w:tcW w:w="902" w:type="dxa"/>
            <w:tcBorders>
              <w:top w:val="nil"/>
              <w:left w:val="nil"/>
              <w:bottom w:val="single" w:color="auto" w:sz="4" w:space="0"/>
              <w:right w:val="single" w:color="auto" w:sz="4" w:space="0"/>
            </w:tcBorders>
            <w:noWrap w:val="0"/>
            <w:vAlign w:val="center"/>
          </w:tcPr>
          <w:p>
            <w:pPr>
              <w:jc w:val="center"/>
            </w:pPr>
            <w:r>
              <w:rPr>
                <w:rFonts w:hint="eastAsia" w:ascii="宋体" w:hAnsi="宋体" w:eastAsia="宋体" w:cs="宋体"/>
                <w:kern w:val="0"/>
                <w:sz w:val="22"/>
              </w:rPr>
              <w:t>是</w:t>
            </w:r>
          </w:p>
        </w:tc>
        <w:tc>
          <w:tcPr>
            <w:tcW w:w="4147" w:type="dxa"/>
            <w:tcBorders>
              <w:top w:val="nil"/>
              <w:left w:val="nil"/>
              <w:bottom w:val="single" w:color="auto" w:sz="4" w:space="0"/>
              <w:right w:val="single" w:color="auto" w:sz="4" w:space="0"/>
            </w:tcBorders>
            <w:noWrap w:val="0"/>
            <w:vAlign w:val="center"/>
          </w:tcPr>
          <w:p>
            <w:pPr>
              <w:widowControl/>
              <w:jc w:val="left"/>
              <w:rPr>
                <w:rFonts w:ascii="宋体" w:hAnsi="宋体" w:eastAsia="宋体" w:cs="宋体"/>
                <w:kern w:val="0"/>
                <w:sz w:val="22"/>
              </w:rPr>
            </w:pPr>
            <w:r>
              <w:rPr>
                <w:rFonts w:hint="eastAsia" w:ascii="宋体" w:hAnsi="宋体" w:eastAsia="宋体" w:cs="宋体"/>
                <w:kern w:val="0"/>
                <w:sz w:val="22"/>
              </w:rPr>
              <w:t>1.符合GB1828.1的四类指示物；</w:t>
            </w:r>
          </w:p>
          <w:p>
            <w:pPr>
              <w:widowControl/>
              <w:jc w:val="left"/>
              <w:rPr>
                <w:rFonts w:ascii="宋体" w:hAnsi="宋体" w:eastAsia="宋体" w:cs="宋体"/>
                <w:kern w:val="0"/>
                <w:sz w:val="22"/>
              </w:rPr>
            </w:pPr>
            <w:r>
              <w:rPr>
                <w:rFonts w:hint="eastAsia" w:ascii="宋体" w:hAnsi="宋体" w:eastAsia="宋体" w:cs="宋体"/>
                <w:kern w:val="0"/>
                <w:sz w:val="22"/>
              </w:rPr>
              <w:t>2.可以粘贴；</w:t>
            </w:r>
          </w:p>
          <w:p>
            <w:pPr>
              <w:widowControl/>
              <w:jc w:val="left"/>
              <w:rPr>
                <w:rFonts w:ascii="宋体" w:hAnsi="宋体" w:eastAsia="宋体" w:cs="宋体"/>
                <w:kern w:val="0"/>
                <w:sz w:val="22"/>
              </w:rPr>
            </w:pPr>
            <w:r>
              <w:rPr>
                <w:rFonts w:hint="eastAsia" w:ascii="宋体" w:hAnsi="宋体" w:eastAsia="宋体" w:cs="宋体"/>
                <w:kern w:val="0"/>
                <w:sz w:val="22"/>
              </w:rPr>
              <w:t>3.报告中与器械模拟代替物对比实验；</w:t>
            </w:r>
          </w:p>
          <w:p>
            <w:pPr>
              <w:widowControl/>
              <w:jc w:val="left"/>
              <w:rPr>
                <w:rFonts w:ascii="宋体" w:hAnsi="宋体" w:eastAsia="宋体" w:cs="宋体"/>
                <w:kern w:val="0"/>
                <w:sz w:val="22"/>
              </w:rPr>
            </w:pPr>
            <w:r>
              <w:rPr>
                <w:rFonts w:hint="eastAsia" w:ascii="宋体" w:hAnsi="宋体" w:eastAsia="宋体" w:cs="宋体"/>
                <w:kern w:val="0"/>
                <w:sz w:val="22"/>
              </w:rPr>
              <w:t>4.报告带有CMA章；</w:t>
            </w:r>
          </w:p>
        </w:tc>
      </w:tr>
      <w:tr>
        <w:tblPrEx>
          <w:tblCellMar>
            <w:top w:w="0" w:type="dxa"/>
            <w:left w:w="108" w:type="dxa"/>
            <w:bottom w:w="0" w:type="dxa"/>
            <w:right w:w="108" w:type="dxa"/>
          </w:tblCellMar>
        </w:tblPrEx>
        <w:trPr>
          <w:trHeight w:val="754" w:hRule="atLeast"/>
        </w:trPr>
        <w:tc>
          <w:tcPr>
            <w:tcW w:w="619" w:type="dxa"/>
            <w:tcBorders>
              <w:top w:val="nil"/>
              <w:left w:val="single" w:color="auto" w:sz="4" w:space="0"/>
              <w:bottom w:val="nil"/>
              <w:right w:val="single" w:color="auto" w:sz="4" w:space="0"/>
            </w:tcBorders>
            <w:noWrap w:val="0"/>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369" w:type="dxa"/>
            <w:tcBorders>
              <w:top w:val="nil"/>
              <w:left w:val="nil"/>
              <w:bottom w:val="single" w:color="auto" w:sz="4" w:space="0"/>
              <w:right w:val="single" w:color="auto" w:sz="4" w:space="0"/>
            </w:tcBorders>
            <w:noWrap w:val="0"/>
            <w:vAlign w:val="center"/>
          </w:tcPr>
          <w:p>
            <w:pPr>
              <w:rPr>
                <w:rFonts w:ascii="宋体" w:hAnsi="宋体" w:cs="宋体"/>
                <w:sz w:val="22"/>
              </w:rPr>
            </w:pPr>
            <w:r>
              <w:rPr>
                <w:rFonts w:hint="eastAsia" w:ascii="宋体" w:hAnsi="宋体" w:cs="宋体"/>
                <w:sz w:val="22"/>
              </w:rPr>
              <w:t>甲醛化学指示胶带</w:t>
            </w:r>
          </w:p>
        </w:tc>
        <w:tc>
          <w:tcPr>
            <w:tcW w:w="1580"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20卷/盒</w:t>
            </w:r>
          </w:p>
        </w:tc>
        <w:tc>
          <w:tcPr>
            <w:tcW w:w="555"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2"/>
              </w:rPr>
            </w:pPr>
            <w:r>
              <w:rPr>
                <w:rFonts w:hint="eastAsia" w:ascii="宋体" w:hAnsi="宋体" w:eastAsia="宋体" w:cs="宋体"/>
                <w:kern w:val="0"/>
                <w:sz w:val="24"/>
                <w:szCs w:val="24"/>
              </w:rPr>
              <w:t>卷</w:t>
            </w:r>
          </w:p>
        </w:tc>
        <w:tc>
          <w:tcPr>
            <w:tcW w:w="739" w:type="dxa"/>
            <w:tcBorders>
              <w:top w:val="nil"/>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165</w:t>
            </w:r>
          </w:p>
        </w:tc>
        <w:tc>
          <w:tcPr>
            <w:tcW w:w="899" w:type="dxa"/>
            <w:tcBorders>
              <w:top w:val="nil"/>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20</w:t>
            </w:r>
          </w:p>
        </w:tc>
        <w:tc>
          <w:tcPr>
            <w:tcW w:w="965" w:type="dxa"/>
            <w:tcBorders>
              <w:top w:val="nil"/>
              <w:left w:val="nil"/>
              <w:bottom w:val="single" w:color="auto" w:sz="4" w:space="0"/>
              <w:right w:val="single" w:color="auto" w:sz="4" w:space="0"/>
            </w:tcBorders>
            <w:noWrap w:val="0"/>
            <w:vAlign w:val="center"/>
          </w:tcPr>
          <w:p>
            <w:pPr>
              <w:widowControl/>
              <w:jc w:val="center"/>
              <w:textAlignment w:val="center"/>
              <w:rPr>
                <w:rFonts w:ascii="宋体" w:hAnsi="宋体" w:cs="宋体"/>
                <w:sz w:val="22"/>
              </w:rPr>
            </w:pPr>
            <w:r>
              <w:rPr>
                <w:rFonts w:hint="eastAsia" w:ascii="宋体" w:hAnsi="宋体" w:eastAsia="宋体" w:cs="宋体"/>
                <w:color w:val="000000"/>
                <w:kern w:val="0"/>
                <w:sz w:val="24"/>
                <w:szCs w:val="24"/>
              </w:rPr>
              <w:t>3300</w:t>
            </w:r>
          </w:p>
        </w:tc>
        <w:tc>
          <w:tcPr>
            <w:tcW w:w="902" w:type="dxa"/>
            <w:tcBorders>
              <w:top w:val="nil"/>
              <w:left w:val="nil"/>
              <w:bottom w:val="single" w:color="auto" w:sz="4" w:space="0"/>
              <w:right w:val="single" w:color="auto" w:sz="4" w:space="0"/>
            </w:tcBorders>
            <w:noWrap w:val="0"/>
            <w:vAlign w:val="center"/>
          </w:tcPr>
          <w:p>
            <w:pPr>
              <w:jc w:val="center"/>
            </w:pPr>
            <w:r>
              <w:rPr>
                <w:rFonts w:hint="eastAsia" w:ascii="宋体" w:hAnsi="宋体" w:eastAsia="宋体" w:cs="宋体"/>
                <w:kern w:val="0"/>
                <w:sz w:val="22"/>
              </w:rPr>
              <w:t>是</w:t>
            </w:r>
          </w:p>
        </w:tc>
        <w:tc>
          <w:tcPr>
            <w:tcW w:w="4147" w:type="dxa"/>
            <w:tcBorders>
              <w:top w:val="nil"/>
              <w:left w:val="nil"/>
              <w:bottom w:val="single" w:color="auto" w:sz="4" w:space="0"/>
              <w:right w:val="single" w:color="auto" w:sz="4" w:space="0"/>
            </w:tcBorders>
            <w:noWrap w:val="0"/>
            <w:vAlign w:val="center"/>
          </w:tcPr>
          <w:p>
            <w:pPr>
              <w:widowControl/>
              <w:jc w:val="left"/>
              <w:rPr>
                <w:rFonts w:ascii="宋体" w:hAnsi="宋体" w:eastAsia="宋体" w:cs="宋体"/>
                <w:kern w:val="0"/>
                <w:sz w:val="22"/>
              </w:rPr>
            </w:pPr>
            <w:r>
              <w:rPr>
                <w:rFonts w:hint="eastAsia" w:ascii="宋体" w:hAnsi="宋体" w:eastAsia="宋体" w:cs="宋体"/>
                <w:kern w:val="0"/>
                <w:sz w:val="22"/>
              </w:rPr>
              <w:t>1.符合GB1828.1的一类指示物；</w:t>
            </w:r>
          </w:p>
          <w:p>
            <w:pPr>
              <w:widowControl/>
              <w:jc w:val="left"/>
              <w:rPr>
                <w:rFonts w:ascii="宋体" w:hAnsi="宋体" w:eastAsia="宋体" w:cs="宋体"/>
                <w:kern w:val="0"/>
                <w:sz w:val="22"/>
              </w:rPr>
            </w:pPr>
            <w:r>
              <w:rPr>
                <w:rFonts w:hint="eastAsia" w:ascii="宋体" w:hAnsi="宋体" w:eastAsia="宋体" w:cs="宋体"/>
                <w:kern w:val="0"/>
                <w:sz w:val="22"/>
              </w:rPr>
              <w:t>2.去除底纸，粘贴方便；</w:t>
            </w:r>
          </w:p>
        </w:tc>
      </w:tr>
      <w:tr>
        <w:tblPrEx>
          <w:tblCellMar>
            <w:top w:w="0" w:type="dxa"/>
            <w:left w:w="108" w:type="dxa"/>
            <w:bottom w:w="0" w:type="dxa"/>
            <w:right w:w="108" w:type="dxa"/>
          </w:tblCellMar>
        </w:tblPrEx>
        <w:trPr>
          <w:trHeight w:val="1497" w:hRule="atLeast"/>
        </w:trPr>
        <w:tc>
          <w:tcPr>
            <w:tcW w:w="61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369" w:type="dxa"/>
            <w:tcBorders>
              <w:top w:val="nil"/>
              <w:left w:val="nil"/>
              <w:bottom w:val="single" w:color="auto" w:sz="4" w:space="0"/>
              <w:right w:val="single" w:color="auto" w:sz="4" w:space="0"/>
            </w:tcBorders>
            <w:noWrap w:val="0"/>
            <w:vAlign w:val="center"/>
          </w:tcPr>
          <w:p>
            <w:pPr>
              <w:rPr>
                <w:rFonts w:ascii="宋体" w:hAnsi="宋体" w:cs="宋体"/>
                <w:sz w:val="22"/>
              </w:rPr>
            </w:pPr>
            <w:r>
              <w:rPr>
                <w:rFonts w:hint="eastAsia" w:ascii="宋体" w:hAnsi="宋体" w:cs="宋体"/>
                <w:sz w:val="22"/>
              </w:rPr>
              <w:t>低温甲醛灭菌信息追溯标签（含甲醛灭菌化学指示色块）</w:t>
            </w:r>
          </w:p>
        </w:tc>
        <w:tc>
          <w:tcPr>
            <w:tcW w:w="1580"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400片/卷</w:t>
            </w:r>
          </w:p>
        </w:tc>
        <w:tc>
          <w:tcPr>
            <w:tcW w:w="555" w:type="dxa"/>
            <w:tcBorders>
              <w:top w:val="nil"/>
              <w:left w:val="nil"/>
              <w:bottom w:val="single" w:color="auto" w:sz="4" w:space="0"/>
              <w:right w:val="single" w:color="auto" w:sz="4" w:space="0"/>
            </w:tcBorders>
            <w:noWrap w:val="0"/>
            <w:vAlign w:val="center"/>
          </w:tcPr>
          <w:p>
            <w:pPr>
              <w:jc w:val="center"/>
            </w:pPr>
            <w:r>
              <w:rPr>
                <w:rFonts w:hint="eastAsia" w:ascii="宋体" w:hAnsi="宋体" w:eastAsia="宋体" w:cs="宋体"/>
                <w:kern w:val="0"/>
                <w:sz w:val="24"/>
                <w:szCs w:val="24"/>
              </w:rPr>
              <w:t>片</w:t>
            </w:r>
          </w:p>
        </w:tc>
        <w:tc>
          <w:tcPr>
            <w:tcW w:w="739" w:type="dxa"/>
            <w:tcBorders>
              <w:top w:val="nil"/>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0.7</w:t>
            </w:r>
          </w:p>
        </w:tc>
        <w:tc>
          <w:tcPr>
            <w:tcW w:w="899" w:type="dxa"/>
            <w:tcBorders>
              <w:top w:val="nil"/>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6000</w:t>
            </w:r>
          </w:p>
        </w:tc>
        <w:tc>
          <w:tcPr>
            <w:tcW w:w="965" w:type="dxa"/>
            <w:tcBorders>
              <w:top w:val="nil"/>
              <w:left w:val="nil"/>
              <w:bottom w:val="single" w:color="auto" w:sz="4" w:space="0"/>
              <w:right w:val="single" w:color="auto" w:sz="4" w:space="0"/>
            </w:tcBorders>
            <w:noWrap w:val="0"/>
            <w:vAlign w:val="center"/>
          </w:tcPr>
          <w:p>
            <w:pPr>
              <w:widowControl/>
              <w:jc w:val="center"/>
              <w:textAlignment w:val="center"/>
              <w:rPr>
                <w:rFonts w:ascii="宋体" w:hAnsi="宋体" w:cs="宋体"/>
                <w:sz w:val="22"/>
              </w:rPr>
            </w:pPr>
            <w:r>
              <w:rPr>
                <w:rFonts w:hint="eastAsia" w:ascii="宋体" w:hAnsi="宋体" w:eastAsia="宋体" w:cs="宋体"/>
                <w:color w:val="000000"/>
                <w:kern w:val="0"/>
                <w:sz w:val="24"/>
                <w:szCs w:val="24"/>
              </w:rPr>
              <w:t>4200</w:t>
            </w:r>
          </w:p>
        </w:tc>
        <w:tc>
          <w:tcPr>
            <w:tcW w:w="902" w:type="dxa"/>
            <w:tcBorders>
              <w:top w:val="nil"/>
              <w:left w:val="nil"/>
              <w:bottom w:val="single" w:color="auto" w:sz="4" w:space="0"/>
              <w:right w:val="single" w:color="auto" w:sz="4" w:space="0"/>
            </w:tcBorders>
            <w:noWrap w:val="0"/>
            <w:vAlign w:val="center"/>
          </w:tcPr>
          <w:p>
            <w:pPr>
              <w:jc w:val="center"/>
            </w:pPr>
            <w:r>
              <w:rPr>
                <w:rFonts w:hint="eastAsia" w:ascii="宋体" w:hAnsi="宋体" w:eastAsia="宋体" w:cs="宋体"/>
                <w:kern w:val="0"/>
                <w:sz w:val="22"/>
              </w:rPr>
              <w:t>是</w:t>
            </w:r>
          </w:p>
        </w:tc>
        <w:tc>
          <w:tcPr>
            <w:tcW w:w="4147" w:type="dxa"/>
            <w:tcBorders>
              <w:top w:val="nil"/>
              <w:left w:val="nil"/>
              <w:bottom w:val="single" w:color="auto" w:sz="4" w:space="0"/>
              <w:right w:val="single" w:color="auto" w:sz="4" w:space="0"/>
            </w:tcBorders>
            <w:noWrap w:val="0"/>
            <w:vAlign w:val="center"/>
          </w:tcPr>
          <w:p>
            <w:pPr>
              <w:widowControl/>
              <w:jc w:val="left"/>
              <w:rPr>
                <w:rFonts w:ascii="宋体" w:hAnsi="宋体" w:eastAsia="宋体" w:cs="宋体"/>
                <w:kern w:val="0"/>
                <w:sz w:val="22"/>
              </w:rPr>
            </w:pPr>
            <w:r>
              <w:rPr>
                <w:rFonts w:hint="eastAsia" w:ascii="宋体" w:hAnsi="宋体" w:eastAsia="宋体" w:cs="宋体"/>
                <w:kern w:val="0"/>
                <w:sz w:val="22"/>
              </w:rPr>
              <w:t>1.符合GB18282.1的一类指示物；</w:t>
            </w:r>
          </w:p>
          <w:p>
            <w:pPr>
              <w:widowControl/>
              <w:jc w:val="left"/>
              <w:rPr>
                <w:rFonts w:ascii="宋体" w:hAnsi="宋体" w:eastAsia="宋体" w:cs="宋体"/>
                <w:kern w:val="0"/>
                <w:sz w:val="22"/>
              </w:rPr>
            </w:pPr>
            <w:r>
              <w:rPr>
                <w:rFonts w:hint="eastAsia" w:ascii="宋体" w:hAnsi="宋体" w:eastAsia="宋体" w:cs="宋体"/>
                <w:kern w:val="0"/>
                <w:sz w:val="22"/>
              </w:rPr>
              <w:t>2.可打印，可接入追溯系统 ；</w:t>
            </w:r>
          </w:p>
        </w:tc>
      </w:tr>
      <w:tr>
        <w:tblPrEx>
          <w:tblCellMar>
            <w:top w:w="0" w:type="dxa"/>
            <w:left w:w="108" w:type="dxa"/>
            <w:bottom w:w="0" w:type="dxa"/>
            <w:right w:w="108" w:type="dxa"/>
          </w:tblCellMar>
        </w:tblPrEx>
        <w:trPr>
          <w:trHeight w:val="1497" w:hRule="atLeast"/>
        </w:trPr>
        <w:tc>
          <w:tcPr>
            <w:tcW w:w="61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369" w:type="dxa"/>
            <w:tcBorders>
              <w:top w:val="nil"/>
              <w:left w:val="nil"/>
              <w:bottom w:val="single" w:color="auto" w:sz="4" w:space="0"/>
              <w:right w:val="single" w:color="auto" w:sz="4" w:space="0"/>
            </w:tcBorders>
            <w:noWrap w:val="0"/>
            <w:vAlign w:val="center"/>
          </w:tcPr>
          <w:p>
            <w:pPr>
              <w:rPr>
                <w:rFonts w:ascii="宋体" w:hAnsi="宋体" w:cs="宋体"/>
                <w:sz w:val="22"/>
              </w:rPr>
            </w:pPr>
            <w:r>
              <w:rPr>
                <w:rFonts w:hint="eastAsia" w:ascii="宋体" w:hAnsi="宋体" w:cs="宋体"/>
                <w:sz w:val="22"/>
              </w:rPr>
              <w:t>甲醛灭菌生物指示剂</w:t>
            </w:r>
          </w:p>
        </w:tc>
        <w:tc>
          <w:tcPr>
            <w:tcW w:w="1580"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50支/盒</w:t>
            </w:r>
          </w:p>
        </w:tc>
        <w:tc>
          <w:tcPr>
            <w:tcW w:w="555" w:type="dxa"/>
            <w:tcBorders>
              <w:top w:val="nil"/>
              <w:left w:val="nil"/>
              <w:bottom w:val="single" w:color="auto" w:sz="4" w:space="0"/>
              <w:right w:val="single" w:color="auto" w:sz="4" w:space="0"/>
            </w:tcBorders>
            <w:noWrap w:val="0"/>
            <w:vAlign w:val="center"/>
          </w:tcPr>
          <w:p>
            <w:pPr>
              <w:jc w:val="center"/>
              <w:rPr>
                <w:color w:val="auto"/>
                <w:highlight w:val="none"/>
              </w:rPr>
            </w:pPr>
            <w:r>
              <w:rPr>
                <w:rFonts w:hint="eastAsia" w:ascii="宋体" w:hAnsi="宋体" w:eastAsia="宋体" w:cs="宋体"/>
                <w:color w:val="auto"/>
                <w:kern w:val="0"/>
                <w:sz w:val="24"/>
                <w:szCs w:val="24"/>
                <w:highlight w:val="none"/>
              </w:rPr>
              <w:t>支</w:t>
            </w:r>
          </w:p>
        </w:tc>
        <w:tc>
          <w:tcPr>
            <w:tcW w:w="739"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2"/>
                <w:highlight w:val="none"/>
              </w:rPr>
            </w:pPr>
            <w:r>
              <w:rPr>
                <w:rFonts w:hint="eastAsia" w:ascii="宋体" w:hAnsi="宋体" w:cs="宋体"/>
                <w:color w:val="auto"/>
                <w:sz w:val="22"/>
                <w:highlight w:val="none"/>
              </w:rPr>
              <w:t>68</w:t>
            </w:r>
          </w:p>
        </w:tc>
        <w:tc>
          <w:tcPr>
            <w:tcW w:w="899"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2"/>
                <w:highlight w:val="none"/>
              </w:rPr>
            </w:pPr>
            <w:r>
              <w:rPr>
                <w:rFonts w:hint="eastAsia" w:ascii="宋体" w:hAnsi="宋体" w:cs="宋体"/>
                <w:color w:val="auto"/>
                <w:sz w:val="22"/>
                <w:highlight w:val="none"/>
              </w:rPr>
              <w:t>150</w:t>
            </w:r>
          </w:p>
        </w:tc>
        <w:tc>
          <w:tcPr>
            <w:tcW w:w="965" w:type="dxa"/>
            <w:tcBorders>
              <w:top w:val="nil"/>
              <w:left w:val="nil"/>
              <w:bottom w:val="single" w:color="auto" w:sz="4" w:space="0"/>
              <w:right w:val="single" w:color="auto" w:sz="4" w:space="0"/>
            </w:tcBorders>
            <w:noWrap w:val="0"/>
            <w:vAlign w:val="center"/>
          </w:tcPr>
          <w:p>
            <w:pPr>
              <w:widowControl/>
              <w:jc w:val="center"/>
              <w:textAlignment w:val="center"/>
              <w:rPr>
                <w:rFonts w:ascii="宋体" w:hAnsi="宋体" w:cs="宋体"/>
                <w:color w:val="auto"/>
                <w:sz w:val="22"/>
                <w:highlight w:val="none"/>
              </w:rPr>
            </w:pPr>
            <w:r>
              <w:rPr>
                <w:rFonts w:hint="eastAsia" w:ascii="宋体" w:hAnsi="宋体" w:eastAsia="宋体" w:cs="宋体"/>
                <w:color w:val="auto"/>
                <w:kern w:val="0"/>
                <w:sz w:val="24"/>
                <w:szCs w:val="24"/>
                <w:highlight w:val="none"/>
              </w:rPr>
              <w:t>10200</w:t>
            </w:r>
          </w:p>
        </w:tc>
        <w:tc>
          <w:tcPr>
            <w:tcW w:w="902" w:type="dxa"/>
            <w:tcBorders>
              <w:top w:val="nil"/>
              <w:left w:val="nil"/>
              <w:bottom w:val="single" w:color="auto" w:sz="4" w:space="0"/>
              <w:right w:val="single" w:color="auto" w:sz="4" w:space="0"/>
            </w:tcBorders>
            <w:noWrap w:val="0"/>
            <w:vAlign w:val="center"/>
          </w:tcPr>
          <w:p>
            <w:pPr>
              <w:jc w:val="center"/>
              <w:rPr>
                <w:color w:val="auto"/>
                <w:highlight w:val="none"/>
              </w:rPr>
            </w:pPr>
            <w:r>
              <w:rPr>
                <w:rFonts w:hint="eastAsia" w:ascii="宋体" w:hAnsi="宋体" w:eastAsia="宋体" w:cs="宋体"/>
                <w:color w:val="auto"/>
                <w:kern w:val="0"/>
                <w:sz w:val="22"/>
                <w:highlight w:val="none"/>
              </w:rPr>
              <w:t>是</w:t>
            </w:r>
          </w:p>
        </w:tc>
        <w:tc>
          <w:tcPr>
            <w:tcW w:w="4147" w:type="dxa"/>
            <w:tcBorders>
              <w:top w:val="nil"/>
              <w:left w:val="nil"/>
              <w:bottom w:val="single" w:color="auto" w:sz="4" w:space="0"/>
              <w:right w:val="single" w:color="auto" w:sz="4" w:space="0"/>
            </w:tcBorders>
            <w:noWrap w:val="0"/>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1.适用于低温蒸汽甲醛灭菌效果监测；                                            2.符合GB18281.1-2015《医疗保健产品灭菌生物指示物第1部分:通则》和GB18281.5-2015《医疗产品灭菌生物指示物第5部分:低温蒸汽甲醛灭菌用生物指示物》标准；                                                              3.具有带CMA或CNAS认证的第三方检测报告（检测项目包括生物指示物菌含量，D值，存活杀灭时间快速生物监测一致性以及有效期）和卫生安全评价报告；                                                                                          4.灭菌后1 h实现快速生物监测；                                                                                             5.指示瓶身带有变色标签，可显示是否经过灭菌；                   6.生物指示剂为自含式，方便使用；</w:t>
            </w:r>
          </w:p>
          <w:p>
            <w:pPr>
              <w:widowControl/>
              <w:jc w:val="left"/>
              <w:rPr>
                <w:color w:val="auto"/>
                <w:highlight w:val="none"/>
              </w:rPr>
            </w:pPr>
            <w:r>
              <w:rPr>
                <w:rFonts w:hint="eastAsia" w:ascii="宋体" w:hAnsi="宋体" w:eastAsia="宋体" w:cs="宋体"/>
                <w:color w:val="auto"/>
                <w:kern w:val="0"/>
                <w:sz w:val="22"/>
                <w:highlight w:val="none"/>
              </w:rPr>
              <w:t>7.提供快速生物阅读器使用。</w:t>
            </w:r>
          </w:p>
        </w:tc>
      </w:tr>
      <w:tr>
        <w:tblPrEx>
          <w:tblCellMar>
            <w:top w:w="0" w:type="dxa"/>
            <w:left w:w="108" w:type="dxa"/>
            <w:bottom w:w="0" w:type="dxa"/>
            <w:right w:w="108" w:type="dxa"/>
          </w:tblCellMar>
        </w:tblPrEx>
        <w:trPr>
          <w:trHeight w:val="4840" w:hRule="atLeast"/>
        </w:trPr>
        <w:tc>
          <w:tcPr>
            <w:tcW w:w="61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369" w:type="dxa"/>
            <w:tcBorders>
              <w:top w:val="nil"/>
              <w:left w:val="nil"/>
              <w:bottom w:val="single" w:color="auto" w:sz="4" w:space="0"/>
              <w:right w:val="single" w:color="auto" w:sz="4" w:space="0"/>
            </w:tcBorders>
            <w:noWrap w:val="0"/>
            <w:vAlign w:val="center"/>
          </w:tcPr>
          <w:p>
            <w:pPr>
              <w:jc w:val="left"/>
              <w:rPr>
                <w:rFonts w:ascii="宋体" w:hAnsi="宋体" w:cs="宋体"/>
                <w:sz w:val="22"/>
              </w:rPr>
            </w:pPr>
            <w:r>
              <w:rPr>
                <w:rFonts w:hint="eastAsia" w:ascii="宋体" w:hAnsi="宋体" w:cs="宋体"/>
                <w:sz w:val="22"/>
              </w:rPr>
              <w:t>低温蒸汽甲醛灭菌剂</w:t>
            </w:r>
          </w:p>
        </w:tc>
        <w:tc>
          <w:tcPr>
            <w:tcW w:w="1580"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2L/袋</w:t>
            </w:r>
          </w:p>
        </w:tc>
        <w:tc>
          <w:tcPr>
            <w:tcW w:w="555" w:type="dxa"/>
            <w:tcBorders>
              <w:top w:val="nil"/>
              <w:left w:val="nil"/>
              <w:bottom w:val="single" w:color="auto" w:sz="4" w:space="0"/>
              <w:right w:val="single" w:color="auto" w:sz="4" w:space="0"/>
            </w:tcBorders>
            <w:noWrap w:val="0"/>
            <w:vAlign w:val="center"/>
          </w:tcPr>
          <w:p>
            <w:pPr>
              <w:jc w:val="center"/>
            </w:pPr>
            <w:r>
              <w:rPr>
                <w:rFonts w:hint="eastAsia" w:ascii="宋体" w:hAnsi="宋体" w:eastAsia="宋体" w:cs="宋体"/>
                <w:kern w:val="0"/>
                <w:sz w:val="24"/>
                <w:szCs w:val="24"/>
              </w:rPr>
              <w:t>L</w:t>
            </w:r>
          </w:p>
        </w:tc>
        <w:tc>
          <w:tcPr>
            <w:tcW w:w="739"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2"/>
              </w:rPr>
            </w:pPr>
            <w:r>
              <w:rPr>
                <w:rFonts w:hint="eastAsia" w:ascii="宋体" w:hAnsi="宋体" w:cs="宋体"/>
                <w:color w:val="auto"/>
                <w:sz w:val="22"/>
              </w:rPr>
              <w:t>120</w:t>
            </w:r>
          </w:p>
        </w:tc>
        <w:tc>
          <w:tcPr>
            <w:tcW w:w="899"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2"/>
              </w:rPr>
            </w:pPr>
            <w:r>
              <w:rPr>
                <w:rFonts w:hint="eastAsia" w:ascii="宋体" w:hAnsi="宋体" w:cs="宋体"/>
                <w:color w:val="auto"/>
                <w:sz w:val="22"/>
              </w:rPr>
              <w:t>400</w:t>
            </w:r>
          </w:p>
        </w:tc>
        <w:tc>
          <w:tcPr>
            <w:tcW w:w="965" w:type="dxa"/>
            <w:tcBorders>
              <w:top w:val="nil"/>
              <w:left w:val="nil"/>
              <w:bottom w:val="single" w:color="auto" w:sz="4" w:space="0"/>
              <w:right w:val="single" w:color="auto" w:sz="4" w:space="0"/>
            </w:tcBorders>
            <w:noWrap w:val="0"/>
            <w:vAlign w:val="center"/>
          </w:tcPr>
          <w:p>
            <w:pPr>
              <w:widowControl/>
              <w:jc w:val="center"/>
              <w:textAlignment w:val="center"/>
              <w:rPr>
                <w:rFonts w:ascii="宋体" w:hAnsi="宋体" w:cs="宋体"/>
                <w:sz w:val="22"/>
              </w:rPr>
            </w:pPr>
            <w:r>
              <w:rPr>
                <w:rFonts w:hint="eastAsia" w:ascii="宋体" w:hAnsi="宋体" w:eastAsia="宋体" w:cs="宋体"/>
                <w:color w:val="000000"/>
                <w:kern w:val="0"/>
                <w:sz w:val="24"/>
                <w:szCs w:val="24"/>
              </w:rPr>
              <w:t>48000</w:t>
            </w:r>
          </w:p>
        </w:tc>
        <w:tc>
          <w:tcPr>
            <w:tcW w:w="902" w:type="dxa"/>
            <w:tcBorders>
              <w:top w:val="nil"/>
              <w:left w:val="nil"/>
              <w:bottom w:val="single" w:color="auto" w:sz="4" w:space="0"/>
              <w:right w:val="single" w:color="auto" w:sz="4" w:space="0"/>
            </w:tcBorders>
            <w:noWrap w:val="0"/>
            <w:vAlign w:val="center"/>
          </w:tcPr>
          <w:p>
            <w:pPr>
              <w:jc w:val="center"/>
              <w:rPr>
                <w:color w:val="auto"/>
              </w:rPr>
            </w:pPr>
            <w:r>
              <w:rPr>
                <w:rFonts w:hint="eastAsia" w:ascii="宋体" w:hAnsi="宋体" w:eastAsia="宋体" w:cs="宋体"/>
                <w:color w:val="auto"/>
                <w:kern w:val="0"/>
                <w:sz w:val="22"/>
              </w:rPr>
              <w:t>是</w:t>
            </w:r>
          </w:p>
        </w:tc>
        <w:tc>
          <w:tcPr>
            <w:tcW w:w="4147" w:type="dxa"/>
            <w:tcBorders>
              <w:top w:val="nil"/>
              <w:left w:val="nil"/>
              <w:bottom w:val="single" w:color="auto" w:sz="4" w:space="0"/>
              <w:right w:val="single" w:color="auto" w:sz="4" w:space="0"/>
            </w:tcBorders>
            <w:noWrap w:val="0"/>
            <w:vAlign w:val="center"/>
          </w:tcPr>
          <w:p>
            <w:pPr>
              <w:widowControl/>
              <w:jc w:val="left"/>
              <w:rPr>
                <w:rFonts w:ascii="宋体" w:hAnsi="宋体" w:eastAsia="宋体" w:cs="宋体"/>
                <w:color w:val="auto"/>
                <w:kern w:val="0"/>
                <w:sz w:val="22"/>
              </w:rPr>
            </w:pPr>
            <w:r>
              <w:rPr>
                <w:rFonts w:hint="eastAsia" w:ascii="宋体" w:hAnsi="宋体" w:eastAsia="宋体" w:cs="宋体"/>
                <w:color w:val="auto"/>
                <w:kern w:val="0"/>
                <w:sz w:val="22"/>
              </w:rPr>
              <w:t>1.甲醛浓度1.94%-2.37%（2.0%）</w:t>
            </w:r>
          </w:p>
          <w:p>
            <w:pPr>
              <w:widowControl/>
              <w:jc w:val="left"/>
              <w:rPr>
                <w:rFonts w:ascii="宋体" w:hAnsi="宋体" w:eastAsia="宋体" w:cs="宋体"/>
                <w:color w:val="auto"/>
                <w:kern w:val="0"/>
                <w:sz w:val="22"/>
              </w:rPr>
            </w:pPr>
            <w:r>
              <w:rPr>
                <w:rFonts w:hint="eastAsia" w:ascii="宋体" w:hAnsi="宋体" w:eastAsia="宋体" w:cs="宋体"/>
                <w:color w:val="auto"/>
                <w:kern w:val="0"/>
                <w:sz w:val="22"/>
              </w:rPr>
              <w:t>2.微生物杀灭效果通过《消毒技术规范》（2002年版）和YY/T0679-2016《医用低温蒸汽甲醛灭菌器》中灭菌合格的规定</w:t>
            </w:r>
          </w:p>
          <w:p>
            <w:pPr>
              <w:widowControl/>
              <w:jc w:val="left"/>
              <w:rPr>
                <w:rFonts w:ascii="宋体" w:hAnsi="宋体" w:eastAsia="宋体" w:cs="宋体"/>
                <w:color w:val="auto"/>
                <w:kern w:val="0"/>
                <w:sz w:val="22"/>
              </w:rPr>
            </w:pPr>
            <w:r>
              <w:rPr>
                <w:rFonts w:hint="eastAsia" w:ascii="宋体" w:hAnsi="宋体" w:eastAsia="宋体" w:cs="宋体"/>
                <w:color w:val="auto"/>
                <w:kern w:val="0"/>
                <w:sz w:val="22"/>
              </w:rPr>
              <w:t>3.模拟现场试验通过《消毒技术规范》（2002年版）和YY/T0679-2016《医用低温蒸汽甲醛灭菌器》中灭菌合格的规定</w:t>
            </w:r>
          </w:p>
          <w:p>
            <w:pPr>
              <w:widowControl/>
              <w:jc w:val="left"/>
              <w:rPr>
                <w:rFonts w:ascii="宋体" w:hAnsi="宋体" w:eastAsia="宋体" w:cs="宋体"/>
                <w:color w:val="auto"/>
                <w:kern w:val="0"/>
                <w:sz w:val="22"/>
              </w:rPr>
            </w:pPr>
            <w:r>
              <w:rPr>
                <w:rFonts w:hint="eastAsia" w:ascii="宋体" w:hAnsi="宋体" w:eastAsia="宋体" w:cs="宋体"/>
                <w:color w:val="auto"/>
                <w:kern w:val="0"/>
                <w:sz w:val="22"/>
              </w:rPr>
              <w:t>4.具有CMA认证权威检测机构检测报告（如浓度、ph值，稳定性，微生物杀灭效果检测、模拟现场检测等）</w:t>
            </w:r>
          </w:p>
          <w:p>
            <w:pPr>
              <w:widowControl/>
              <w:jc w:val="left"/>
              <w:rPr>
                <w:rFonts w:ascii="宋体" w:hAnsi="宋体" w:eastAsia="宋体" w:cs="宋体"/>
                <w:color w:val="auto"/>
                <w:kern w:val="0"/>
                <w:sz w:val="22"/>
              </w:rPr>
            </w:pPr>
            <w:r>
              <w:rPr>
                <w:rFonts w:hint="eastAsia" w:ascii="宋体" w:hAnsi="宋体" w:eastAsia="宋体" w:cs="宋体"/>
                <w:color w:val="auto"/>
                <w:kern w:val="0"/>
                <w:sz w:val="22"/>
              </w:rPr>
              <w:t>5.在卫生部门进行备案，具有产品卫生安全评价报告</w:t>
            </w:r>
          </w:p>
          <w:p>
            <w:pPr>
              <w:widowControl/>
              <w:jc w:val="left"/>
              <w:rPr>
                <w:rFonts w:ascii="宋体" w:hAnsi="宋体" w:eastAsia="宋体" w:cs="宋体"/>
                <w:color w:val="auto"/>
                <w:kern w:val="0"/>
                <w:sz w:val="22"/>
              </w:rPr>
            </w:pPr>
            <w:r>
              <w:rPr>
                <w:rFonts w:hint="eastAsia" w:ascii="宋体" w:hAnsi="宋体" w:eastAsia="宋体" w:cs="宋体"/>
                <w:color w:val="auto"/>
                <w:kern w:val="0"/>
                <w:sz w:val="22"/>
              </w:rPr>
              <w:t>6.适用我院甲醛灭菌器（设备型号：新华FS-130）。</w:t>
            </w:r>
          </w:p>
        </w:tc>
      </w:tr>
      <w:tr>
        <w:tblPrEx>
          <w:tblCellMar>
            <w:top w:w="0" w:type="dxa"/>
            <w:left w:w="108" w:type="dxa"/>
            <w:bottom w:w="0" w:type="dxa"/>
            <w:right w:w="108" w:type="dxa"/>
          </w:tblCellMar>
        </w:tblPrEx>
        <w:trPr>
          <w:trHeight w:val="383" w:hRule="atLeast"/>
        </w:trPr>
        <w:tc>
          <w:tcPr>
            <w:tcW w:w="619" w:type="dxa"/>
            <w:vMerge w:val="restart"/>
            <w:tcBorders>
              <w:top w:val="nil"/>
              <w:left w:val="single" w:color="auto" w:sz="4" w:space="0"/>
              <w:right w:val="single" w:color="auto" w:sz="4" w:space="0"/>
            </w:tcBorders>
            <w:noWrap w:val="0"/>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369" w:type="dxa"/>
            <w:vMerge w:val="restart"/>
            <w:tcBorders>
              <w:top w:val="nil"/>
              <w:left w:val="nil"/>
              <w:right w:val="single" w:color="auto" w:sz="4" w:space="0"/>
            </w:tcBorders>
            <w:noWrap w:val="0"/>
            <w:vAlign w:val="center"/>
          </w:tcPr>
          <w:p>
            <w:pPr>
              <w:jc w:val="left"/>
              <w:rPr>
                <w:rFonts w:ascii="宋体" w:hAnsi="宋体" w:cs="宋体"/>
                <w:sz w:val="22"/>
              </w:rPr>
            </w:pPr>
            <w:r>
              <w:rPr>
                <w:rFonts w:hint="eastAsia" w:ascii="宋体" w:hAnsi="宋体" w:cs="宋体"/>
                <w:sz w:val="22"/>
              </w:rPr>
              <w:t>低温蒸汽甲醛灭菌包装袋卷</w:t>
            </w:r>
          </w:p>
        </w:tc>
        <w:tc>
          <w:tcPr>
            <w:tcW w:w="1580" w:type="dxa"/>
            <w:tcBorders>
              <w:top w:val="nil"/>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100MM*100M</w:t>
            </w:r>
          </w:p>
        </w:tc>
        <w:tc>
          <w:tcPr>
            <w:tcW w:w="555" w:type="dxa"/>
            <w:tcBorders>
              <w:top w:val="nil"/>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卷</w:t>
            </w:r>
          </w:p>
        </w:tc>
        <w:tc>
          <w:tcPr>
            <w:tcW w:w="739"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2"/>
              </w:rPr>
            </w:pPr>
            <w:r>
              <w:rPr>
                <w:rFonts w:hint="eastAsia" w:ascii="宋体" w:hAnsi="宋体" w:cs="宋体"/>
                <w:color w:val="auto"/>
                <w:sz w:val="22"/>
              </w:rPr>
              <w:t>220</w:t>
            </w:r>
          </w:p>
        </w:tc>
        <w:tc>
          <w:tcPr>
            <w:tcW w:w="899"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2"/>
              </w:rPr>
            </w:pPr>
            <w:r>
              <w:rPr>
                <w:rFonts w:hint="eastAsia" w:ascii="宋体" w:hAnsi="宋体" w:cs="宋体"/>
                <w:color w:val="auto"/>
                <w:sz w:val="22"/>
              </w:rPr>
              <w:t>50</w:t>
            </w:r>
          </w:p>
        </w:tc>
        <w:tc>
          <w:tcPr>
            <w:tcW w:w="965" w:type="dxa"/>
            <w:tcBorders>
              <w:top w:val="nil"/>
              <w:left w:val="nil"/>
              <w:bottom w:val="single" w:color="auto" w:sz="4" w:space="0"/>
              <w:right w:val="single" w:color="auto" w:sz="4" w:space="0"/>
            </w:tcBorders>
            <w:noWrap w:val="0"/>
            <w:vAlign w:val="center"/>
          </w:tcPr>
          <w:p>
            <w:pPr>
              <w:widowControl/>
              <w:jc w:val="center"/>
              <w:textAlignment w:val="center"/>
              <w:rPr>
                <w:rFonts w:ascii="宋体" w:hAnsi="宋体" w:cs="宋体"/>
                <w:sz w:val="22"/>
              </w:rPr>
            </w:pPr>
            <w:r>
              <w:rPr>
                <w:rFonts w:hint="eastAsia" w:ascii="宋体" w:hAnsi="宋体" w:eastAsia="宋体" w:cs="宋体"/>
                <w:color w:val="000000"/>
                <w:kern w:val="0"/>
                <w:sz w:val="24"/>
                <w:szCs w:val="24"/>
              </w:rPr>
              <w:t>11000</w:t>
            </w:r>
          </w:p>
        </w:tc>
        <w:tc>
          <w:tcPr>
            <w:tcW w:w="902" w:type="dxa"/>
            <w:vMerge w:val="restart"/>
            <w:tcBorders>
              <w:top w:val="nil"/>
              <w:left w:val="nil"/>
              <w:right w:val="single" w:color="auto" w:sz="4" w:space="0"/>
            </w:tcBorders>
            <w:noWrap w:val="0"/>
            <w:vAlign w:val="center"/>
          </w:tcPr>
          <w:p>
            <w:pPr>
              <w:jc w:val="center"/>
            </w:pPr>
            <w:r>
              <w:rPr>
                <w:rFonts w:hint="eastAsia" w:ascii="宋体" w:hAnsi="宋体" w:eastAsia="宋体" w:cs="宋体"/>
                <w:kern w:val="0"/>
                <w:sz w:val="22"/>
              </w:rPr>
              <w:t>是，任意两种规格</w:t>
            </w:r>
          </w:p>
        </w:tc>
        <w:tc>
          <w:tcPr>
            <w:tcW w:w="4147" w:type="dxa"/>
            <w:vMerge w:val="restart"/>
            <w:tcBorders>
              <w:top w:val="nil"/>
              <w:left w:val="nil"/>
              <w:right w:val="single" w:color="auto" w:sz="4" w:space="0"/>
            </w:tcBorders>
            <w:noWrap w:val="0"/>
            <w:vAlign w:val="center"/>
          </w:tcPr>
          <w:p>
            <w:pPr>
              <w:jc w:val="left"/>
              <w:rPr>
                <w:rFonts w:ascii="宋体" w:hAnsi="宋体" w:cs="宋体"/>
                <w:sz w:val="22"/>
              </w:rPr>
            </w:pPr>
            <w:r>
              <w:rPr>
                <w:rFonts w:hint="eastAsia" w:ascii="宋体" w:hAnsi="宋体" w:cs="宋体"/>
                <w:sz w:val="22"/>
              </w:rPr>
              <w:t>1.符合YY/T 0698、GB/T 19633和《消毒技术规范》标准要求。</w:t>
            </w:r>
          </w:p>
          <w:p>
            <w:pPr>
              <w:jc w:val="left"/>
              <w:rPr>
                <w:rFonts w:ascii="宋体" w:hAnsi="宋体" w:cs="宋体"/>
                <w:sz w:val="22"/>
              </w:rPr>
            </w:pPr>
            <w:r>
              <w:rPr>
                <w:rFonts w:hint="eastAsia" w:ascii="宋体" w:hAnsi="宋体" w:cs="宋体"/>
                <w:sz w:val="22"/>
              </w:rPr>
              <w:t>2.产品专用于低温蒸汽甲醛灭菌物品的包装。</w:t>
            </w:r>
          </w:p>
          <w:p>
            <w:pPr>
              <w:jc w:val="left"/>
              <w:rPr>
                <w:rFonts w:ascii="宋体" w:hAnsi="宋体" w:cs="宋体"/>
                <w:sz w:val="22"/>
              </w:rPr>
            </w:pPr>
            <w:r>
              <w:rPr>
                <w:rFonts w:ascii="宋体" w:hAnsi="宋体" w:cs="宋体"/>
                <w:sz w:val="22"/>
              </w:rPr>
              <w:t>3.</w:t>
            </w:r>
            <w:r>
              <w:rPr>
                <w:rFonts w:hint="eastAsia" w:ascii="宋体" w:hAnsi="宋体" w:cs="宋体"/>
                <w:sz w:val="22"/>
              </w:rPr>
              <w:t>含有甲醛灭菌监测指示物，单个指示物面积≥</w:t>
            </w:r>
            <w:r>
              <w:rPr>
                <w:rFonts w:ascii="宋体" w:hAnsi="宋体" w:cs="宋体"/>
                <w:sz w:val="22"/>
              </w:rPr>
              <w:t>100</w:t>
            </w:r>
            <w:r>
              <w:rPr>
                <w:rFonts w:hint="eastAsia" w:ascii="MS Mincho" w:hAnsi="MS Mincho" w:eastAsia="MS Mincho" w:cs="MS Mincho"/>
                <w:sz w:val="22"/>
              </w:rPr>
              <w:t>㎟</w:t>
            </w:r>
            <w:r>
              <w:rPr>
                <w:rFonts w:hint="eastAsia" w:ascii="宋体" w:hAnsi="宋体" w:eastAsia="宋体" w:cs="宋体"/>
                <w:sz w:val="22"/>
              </w:rPr>
              <w:t>，卷材上的印刷间隔距离小于</w:t>
            </w:r>
            <w:r>
              <w:rPr>
                <w:rFonts w:ascii="宋体" w:hAnsi="宋体" w:cs="宋体"/>
                <w:sz w:val="22"/>
              </w:rPr>
              <w:t>155mm</w:t>
            </w:r>
            <w:r>
              <w:rPr>
                <w:rFonts w:hint="eastAsia" w:ascii="宋体" w:hAnsi="宋体" w:cs="宋体"/>
                <w:sz w:val="22"/>
              </w:rPr>
              <w:t>。</w:t>
            </w:r>
            <w:r>
              <w:rPr>
                <w:rFonts w:ascii="宋体" w:hAnsi="宋体" w:cs="宋体"/>
                <w:sz w:val="22"/>
              </w:rPr>
              <w:t xml:space="preserve">                                                                                                                                                   </w:t>
            </w:r>
          </w:p>
          <w:p>
            <w:pPr>
              <w:jc w:val="left"/>
              <w:rPr>
                <w:rFonts w:ascii="宋体" w:hAnsi="宋体" w:cs="宋体"/>
                <w:sz w:val="22"/>
              </w:rPr>
            </w:pPr>
            <w:r>
              <w:rPr>
                <w:rFonts w:hint="eastAsia" w:ascii="宋体" w:hAnsi="宋体" w:cs="宋体"/>
                <w:sz w:val="22"/>
              </w:rPr>
              <w:t>4.资质证件齐全，提供卫生安全评价报告，检测项目包含一般外观检查，质量测定，灭菌对包装标识无影响，不透气材料的不透气性检查，微生物屏障性能、灭菌因子穿透性能、灭菌后180天无菌有效期验证及灭菌因子残留，18个月稳定性验证。</w:t>
            </w:r>
          </w:p>
          <w:p>
            <w:pPr>
              <w:jc w:val="left"/>
              <w:rPr>
                <w:rFonts w:ascii="宋体" w:hAnsi="宋体" w:cs="宋体"/>
                <w:sz w:val="22"/>
              </w:rPr>
            </w:pPr>
            <w:r>
              <w:rPr>
                <w:rFonts w:hint="eastAsia" w:ascii="宋体" w:hAnsi="宋体" w:cs="宋体"/>
                <w:sz w:val="22"/>
              </w:rPr>
              <w:t>5.纸质质量为70g/㎡。</w:t>
            </w:r>
          </w:p>
          <w:p>
            <w:pPr>
              <w:jc w:val="left"/>
              <w:rPr>
                <w:rFonts w:ascii="宋体" w:hAnsi="宋体" w:cs="宋体"/>
                <w:sz w:val="22"/>
              </w:rPr>
            </w:pPr>
            <w:r>
              <w:rPr>
                <w:rFonts w:hint="eastAsia" w:ascii="宋体" w:hAnsi="宋体" w:cs="宋体"/>
                <w:sz w:val="22"/>
              </w:rPr>
              <w:t>6.生产环境为10万级及以上净化等级，有检测报告。</w:t>
            </w:r>
          </w:p>
          <w:p>
            <w:pPr>
              <w:jc w:val="left"/>
              <w:rPr>
                <w:rFonts w:ascii="宋体" w:hAnsi="宋体" w:cs="宋体"/>
                <w:sz w:val="22"/>
              </w:rPr>
            </w:pPr>
            <w:r>
              <w:rPr>
                <w:rFonts w:hint="eastAsia" w:ascii="宋体" w:hAnsi="宋体" w:cs="宋体"/>
                <w:sz w:val="22"/>
              </w:rPr>
              <w:t>7.塑料材质管芯，避免纸屑污染。</w:t>
            </w:r>
          </w:p>
          <w:p>
            <w:pPr>
              <w:jc w:val="left"/>
              <w:rPr>
                <w:rFonts w:ascii="宋体" w:hAnsi="宋体" w:cs="宋体"/>
                <w:sz w:val="22"/>
              </w:rPr>
            </w:pPr>
            <w:r>
              <w:rPr>
                <w:rFonts w:hint="eastAsia" w:ascii="宋体" w:hAnsi="宋体" w:cs="宋体"/>
                <w:sz w:val="22"/>
              </w:rPr>
              <w:t>8.生产企业通过ISO质量体系认证。</w:t>
            </w:r>
          </w:p>
        </w:tc>
      </w:tr>
      <w:tr>
        <w:tblPrEx>
          <w:tblCellMar>
            <w:top w:w="0" w:type="dxa"/>
            <w:left w:w="108" w:type="dxa"/>
            <w:bottom w:w="0" w:type="dxa"/>
            <w:right w:w="108" w:type="dxa"/>
          </w:tblCellMar>
        </w:tblPrEx>
        <w:trPr>
          <w:trHeight w:val="613" w:hRule="atLeast"/>
        </w:trPr>
        <w:tc>
          <w:tcPr>
            <w:tcW w:w="619" w:type="dxa"/>
            <w:vMerge w:val="continue"/>
            <w:tcBorders>
              <w:left w:val="single" w:color="auto" w:sz="4" w:space="0"/>
              <w:right w:val="single" w:color="auto" w:sz="4" w:space="0"/>
            </w:tcBorders>
            <w:shd w:val="clear" w:color="000000" w:fill="FFFFFF"/>
            <w:noWrap w:val="0"/>
            <w:vAlign w:val="center"/>
          </w:tcPr>
          <w:p>
            <w:pPr>
              <w:jc w:val="center"/>
              <w:rPr>
                <w:rFonts w:ascii="宋体" w:hAnsi="宋体" w:cs="宋体"/>
                <w:sz w:val="22"/>
              </w:rPr>
            </w:pPr>
          </w:p>
        </w:tc>
        <w:tc>
          <w:tcPr>
            <w:tcW w:w="1369" w:type="dxa"/>
            <w:vMerge w:val="continue"/>
            <w:tcBorders>
              <w:left w:val="nil"/>
              <w:right w:val="single" w:color="auto" w:sz="4" w:space="0"/>
            </w:tcBorders>
            <w:shd w:val="clear" w:color="000000" w:fill="FFFFFF"/>
            <w:noWrap w:val="0"/>
            <w:vAlign w:val="center"/>
          </w:tcPr>
          <w:p>
            <w:pPr>
              <w:jc w:val="center"/>
              <w:rPr>
                <w:rFonts w:ascii="宋体" w:hAnsi="宋体" w:cs="宋体"/>
                <w:sz w:val="22"/>
              </w:rPr>
            </w:pPr>
          </w:p>
        </w:tc>
        <w:tc>
          <w:tcPr>
            <w:tcW w:w="1580" w:type="dxa"/>
            <w:tcBorders>
              <w:top w:val="nil"/>
              <w:left w:val="nil"/>
              <w:bottom w:val="single" w:color="auto" w:sz="4" w:space="0"/>
              <w:right w:val="single" w:color="auto" w:sz="4" w:space="0"/>
            </w:tcBorders>
            <w:shd w:val="clear" w:color="000000" w:fill="FFFFFF"/>
            <w:noWrap w:val="0"/>
            <w:vAlign w:val="center"/>
          </w:tcPr>
          <w:p>
            <w:pPr>
              <w:jc w:val="center"/>
              <w:rPr>
                <w:rFonts w:ascii="宋体" w:hAnsi="宋体" w:cs="宋体"/>
                <w:sz w:val="22"/>
              </w:rPr>
            </w:pPr>
            <w:r>
              <w:rPr>
                <w:rFonts w:hint="eastAsia" w:ascii="宋体" w:hAnsi="宋体" w:cs="宋体"/>
                <w:sz w:val="22"/>
              </w:rPr>
              <w:t>150MM*100M</w:t>
            </w:r>
          </w:p>
        </w:tc>
        <w:tc>
          <w:tcPr>
            <w:tcW w:w="555" w:type="dxa"/>
            <w:tcBorders>
              <w:top w:val="nil"/>
              <w:left w:val="nil"/>
              <w:bottom w:val="single" w:color="auto" w:sz="4" w:space="0"/>
              <w:right w:val="single" w:color="auto" w:sz="4" w:space="0"/>
            </w:tcBorders>
            <w:shd w:val="clear" w:color="auto" w:fill="auto"/>
            <w:noWrap w:val="0"/>
            <w:vAlign w:val="center"/>
          </w:tcPr>
          <w:p>
            <w:pPr>
              <w:jc w:val="center"/>
            </w:pPr>
            <w:r>
              <w:rPr>
                <w:rFonts w:hint="eastAsia" w:ascii="宋体" w:hAnsi="宋体" w:cs="宋体"/>
                <w:sz w:val="22"/>
              </w:rPr>
              <w:t>卷</w:t>
            </w:r>
          </w:p>
        </w:tc>
        <w:tc>
          <w:tcPr>
            <w:tcW w:w="739" w:type="dxa"/>
            <w:tcBorders>
              <w:top w:val="nil"/>
              <w:left w:val="nil"/>
              <w:bottom w:val="single" w:color="auto" w:sz="4" w:space="0"/>
              <w:right w:val="single" w:color="auto" w:sz="4" w:space="0"/>
            </w:tcBorders>
            <w:shd w:val="clear" w:color="000000" w:fill="FFFFFF"/>
            <w:noWrap w:val="0"/>
            <w:vAlign w:val="center"/>
          </w:tcPr>
          <w:p>
            <w:pPr>
              <w:jc w:val="center"/>
              <w:rPr>
                <w:rFonts w:ascii="宋体" w:hAnsi="宋体" w:cs="宋体"/>
                <w:color w:val="auto"/>
                <w:sz w:val="22"/>
              </w:rPr>
            </w:pPr>
            <w:r>
              <w:rPr>
                <w:rFonts w:hint="eastAsia" w:ascii="宋体" w:hAnsi="宋体" w:cs="宋体"/>
                <w:color w:val="auto"/>
                <w:sz w:val="22"/>
              </w:rPr>
              <w:t>290</w:t>
            </w:r>
          </w:p>
        </w:tc>
        <w:tc>
          <w:tcPr>
            <w:tcW w:w="899" w:type="dxa"/>
            <w:tcBorders>
              <w:top w:val="nil"/>
              <w:left w:val="nil"/>
              <w:bottom w:val="single" w:color="auto" w:sz="4" w:space="0"/>
              <w:right w:val="single" w:color="auto" w:sz="4" w:space="0"/>
            </w:tcBorders>
            <w:shd w:val="clear" w:color="000000" w:fill="FFFFFF"/>
            <w:noWrap w:val="0"/>
            <w:vAlign w:val="center"/>
          </w:tcPr>
          <w:p>
            <w:pPr>
              <w:jc w:val="center"/>
              <w:rPr>
                <w:rFonts w:ascii="宋体" w:hAnsi="宋体" w:cs="宋体"/>
                <w:color w:val="auto"/>
                <w:sz w:val="22"/>
              </w:rPr>
            </w:pPr>
            <w:r>
              <w:rPr>
                <w:rFonts w:hint="eastAsia" w:ascii="宋体" w:hAnsi="宋体" w:cs="宋体"/>
                <w:color w:val="auto"/>
                <w:sz w:val="22"/>
              </w:rPr>
              <w:t>20</w:t>
            </w:r>
          </w:p>
        </w:tc>
        <w:tc>
          <w:tcPr>
            <w:tcW w:w="965" w:type="dxa"/>
            <w:tcBorders>
              <w:top w:val="nil"/>
              <w:left w:val="nil"/>
              <w:bottom w:val="single" w:color="auto" w:sz="4" w:space="0"/>
              <w:right w:val="single" w:color="auto" w:sz="4" w:space="0"/>
            </w:tcBorders>
            <w:noWrap w:val="0"/>
            <w:vAlign w:val="center"/>
          </w:tcPr>
          <w:p>
            <w:pPr>
              <w:widowControl/>
              <w:jc w:val="center"/>
              <w:textAlignment w:val="center"/>
              <w:rPr>
                <w:rFonts w:ascii="宋体" w:hAnsi="宋体" w:cs="宋体"/>
                <w:sz w:val="22"/>
              </w:rPr>
            </w:pPr>
            <w:r>
              <w:rPr>
                <w:rFonts w:hint="eastAsia" w:ascii="宋体" w:hAnsi="宋体" w:eastAsia="宋体" w:cs="宋体"/>
                <w:color w:val="000000"/>
                <w:kern w:val="0"/>
                <w:sz w:val="24"/>
                <w:szCs w:val="24"/>
              </w:rPr>
              <w:t>5800</w:t>
            </w:r>
          </w:p>
        </w:tc>
        <w:tc>
          <w:tcPr>
            <w:tcW w:w="902" w:type="dxa"/>
            <w:vMerge w:val="continue"/>
            <w:tcBorders>
              <w:left w:val="nil"/>
              <w:right w:val="single" w:color="auto" w:sz="4" w:space="0"/>
            </w:tcBorders>
            <w:noWrap w:val="0"/>
            <w:vAlign w:val="center"/>
          </w:tcPr>
          <w:p>
            <w:pPr>
              <w:jc w:val="center"/>
            </w:pPr>
          </w:p>
        </w:tc>
        <w:tc>
          <w:tcPr>
            <w:tcW w:w="4147" w:type="dxa"/>
            <w:vMerge w:val="continue"/>
            <w:tcBorders>
              <w:left w:val="nil"/>
              <w:right w:val="single" w:color="auto" w:sz="4" w:space="0"/>
            </w:tcBorders>
            <w:noWrap w:val="0"/>
            <w:vAlign w:val="center"/>
          </w:tcPr>
          <w:p>
            <w:pPr>
              <w:jc w:val="left"/>
              <w:rPr>
                <w:rFonts w:ascii="宋体" w:hAnsi="宋体" w:cs="宋体"/>
                <w:sz w:val="22"/>
              </w:rPr>
            </w:pPr>
          </w:p>
        </w:tc>
      </w:tr>
      <w:tr>
        <w:tblPrEx>
          <w:tblCellMar>
            <w:top w:w="0" w:type="dxa"/>
            <w:left w:w="108" w:type="dxa"/>
            <w:bottom w:w="0" w:type="dxa"/>
            <w:right w:w="108" w:type="dxa"/>
          </w:tblCellMar>
        </w:tblPrEx>
        <w:trPr>
          <w:trHeight w:val="654" w:hRule="atLeast"/>
        </w:trPr>
        <w:tc>
          <w:tcPr>
            <w:tcW w:w="619" w:type="dxa"/>
            <w:vMerge w:val="continue"/>
            <w:tcBorders>
              <w:left w:val="single" w:color="auto" w:sz="4" w:space="0"/>
              <w:right w:val="single" w:color="auto" w:sz="4" w:space="0"/>
            </w:tcBorders>
            <w:noWrap w:val="0"/>
            <w:vAlign w:val="center"/>
          </w:tcPr>
          <w:p>
            <w:pPr>
              <w:jc w:val="center"/>
              <w:rPr>
                <w:rFonts w:ascii="宋体" w:hAnsi="宋体" w:cs="宋体"/>
                <w:sz w:val="22"/>
              </w:rPr>
            </w:pPr>
          </w:p>
        </w:tc>
        <w:tc>
          <w:tcPr>
            <w:tcW w:w="1369" w:type="dxa"/>
            <w:vMerge w:val="continue"/>
            <w:tcBorders>
              <w:left w:val="nil"/>
              <w:right w:val="single" w:color="auto" w:sz="4" w:space="0"/>
            </w:tcBorders>
            <w:noWrap w:val="0"/>
            <w:vAlign w:val="center"/>
          </w:tcPr>
          <w:p>
            <w:pPr>
              <w:jc w:val="center"/>
              <w:rPr>
                <w:rFonts w:ascii="宋体" w:hAnsi="宋体" w:cs="宋体"/>
                <w:sz w:val="22"/>
              </w:rPr>
            </w:pPr>
          </w:p>
        </w:tc>
        <w:tc>
          <w:tcPr>
            <w:tcW w:w="1580"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200MM*100M</w:t>
            </w:r>
          </w:p>
        </w:tc>
        <w:tc>
          <w:tcPr>
            <w:tcW w:w="555" w:type="dxa"/>
            <w:tcBorders>
              <w:top w:val="single" w:color="auto" w:sz="4" w:space="0"/>
              <w:left w:val="nil"/>
              <w:bottom w:val="single" w:color="auto" w:sz="4" w:space="0"/>
              <w:right w:val="single" w:color="auto" w:sz="4" w:space="0"/>
            </w:tcBorders>
            <w:noWrap w:val="0"/>
            <w:vAlign w:val="center"/>
          </w:tcPr>
          <w:p>
            <w:pPr>
              <w:jc w:val="center"/>
            </w:pPr>
            <w:r>
              <w:rPr>
                <w:rFonts w:hint="eastAsia" w:ascii="宋体" w:hAnsi="宋体" w:cs="宋体"/>
                <w:sz w:val="22"/>
              </w:rPr>
              <w:t>卷</w:t>
            </w:r>
          </w:p>
        </w:tc>
        <w:tc>
          <w:tcPr>
            <w:tcW w:w="739"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auto"/>
                <w:sz w:val="22"/>
              </w:rPr>
            </w:pPr>
            <w:r>
              <w:rPr>
                <w:rFonts w:hint="eastAsia" w:ascii="宋体" w:hAnsi="宋体" w:cs="宋体"/>
                <w:color w:val="auto"/>
                <w:sz w:val="22"/>
              </w:rPr>
              <w:t>370</w:t>
            </w:r>
          </w:p>
        </w:tc>
        <w:tc>
          <w:tcPr>
            <w:tcW w:w="899"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auto"/>
                <w:sz w:val="22"/>
              </w:rPr>
            </w:pPr>
            <w:r>
              <w:rPr>
                <w:rFonts w:hint="eastAsia" w:ascii="宋体" w:hAnsi="宋体" w:cs="宋体"/>
                <w:color w:val="auto"/>
                <w:sz w:val="22"/>
              </w:rPr>
              <w:t>30</w:t>
            </w:r>
          </w:p>
        </w:tc>
        <w:tc>
          <w:tcPr>
            <w:tcW w:w="965"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ascii="宋体" w:hAnsi="宋体" w:cs="宋体"/>
                <w:sz w:val="22"/>
              </w:rPr>
            </w:pPr>
            <w:r>
              <w:rPr>
                <w:rFonts w:hint="eastAsia" w:ascii="宋体" w:hAnsi="宋体" w:eastAsia="宋体" w:cs="宋体"/>
                <w:color w:val="000000"/>
                <w:kern w:val="0"/>
                <w:sz w:val="24"/>
                <w:szCs w:val="24"/>
              </w:rPr>
              <w:t>11100</w:t>
            </w:r>
          </w:p>
        </w:tc>
        <w:tc>
          <w:tcPr>
            <w:tcW w:w="902" w:type="dxa"/>
            <w:vMerge w:val="continue"/>
            <w:tcBorders>
              <w:left w:val="nil"/>
              <w:right w:val="single" w:color="auto" w:sz="4" w:space="0"/>
            </w:tcBorders>
            <w:noWrap w:val="0"/>
            <w:vAlign w:val="center"/>
          </w:tcPr>
          <w:p>
            <w:pPr>
              <w:jc w:val="center"/>
            </w:pPr>
          </w:p>
        </w:tc>
        <w:tc>
          <w:tcPr>
            <w:tcW w:w="4147" w:type="dxa"/>
            <w:vMerge w:val="continue"/>
            <w:tcBorders>
              <w:left w:val="nil"/>
              <w:right w:val="single" w:color="auto" w:sz="4" w:space="0"/>
            </w:tcBorders>
            <w:noWrap w:val="0"/>
            <w:vAlign w:val="center"/>
          </w:tcPr>
          <w:p>
            <w:pPr>
              <w:jc w:val="left"/>
              <w:rPr>
                <w:rFonts w:ascii="宋体" w:hAnsi="宋体" w:cs="宋体"/>
                <w:sz w:val="22"/>
              </w:rPr>
            </w:pPr>
          </w:p>
        </w:tc>
      </w:tr>
      <w:tr>
        <w:tblPrEx>
          <w:tblCellMar>
            <w:top w:w="0" w:type="dxa"/>
            <w:left w:w="108" w:type="dxa"/>
            <w:bottom w:w="0" w:type="dxa"/>
            <w:right w:w="108" w:type="dxa"/>
          </w:tblCellMar>
        </w:tblPrEx>
        <w:trPr>
          <w:trHeight w:val="654" w:hRule="atLeast"/>
        </w:trPr>
        <w:tc>
          <w:tcPr>
            <w:tcW w:w="619" w:type="dxa"/>
            <w:vMerge w:val="continue"/>
            <w:tcBorders>
              <w:left w:val="single" w:color="auto" w:sz="4" w:space="0"/>
              <w:right w:val="single" w:color="auto" w:sz="4" w:space="0"/>
            </w:tcBorders>
            <w:noWrap w:val="0"/>
            <w:vAlign w:val="center"/>
          </w:tcPr>
          <w:p>
            <w:pPr>
              <w:jc w:val="center"/>
              <w:rPr>
                <w:rFonts w:ascii="宋体" w:hAnsi="宋体" w:cs="宋体"/>
                <w:sz w:val="22"/>
              </w:rPr>
            </w:pPr>
          </w:p>
        </w:tc>
        <w:tc>
          <w:tcPr>
            <w:tcW w:w="1369" w:type="dxa"/>
            <w:vMerge w:val="continue"/>
            <w:tcBorders>
              <w:left w:val="nil"/>
              <w:right w:val="single" w:color="auto" w:sz="4" w:space="0"/>
            </w:tcBorders>
            <w:noWrap w:val="0"/>
            <w:vAlign w:val="center"/>
          </w:tcPr>
          <w:p>
            <w:pPr>
              <w:jc w:val="center"/>
              <w:rPr>
                <w:rFonts w:ascii="宋体" w:hAnsi="宋体" w:cs="宋体"/>
                <w:sz w:val="22"/>
              </w:rPr>
            </w:pPr>
          </w:p>
        </w:tc>
        <w:tc>
          <w:tcPr>
            <w:tcW w:w="1580"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250MM*100M</w:t>
            </w:r>
          </w:p>
        </w:tc>
        <w:tc>
          <w:tcPr>
            <w:tcW w:w="555" w:type="dxa"/>
            <w:tcBorders>
              <w:top w:val="single" w:color="auto" w:sz="4" w:space="0"/>
              <w:left w:val="nil"/>
              <w:bottom w:val="single" w:color="auto" w:sz="4" w:space="0"/>
              <w:right w:val="single" w:color="auto" w:sz="4" w:space="0"/>
            </w:tcBorders>
            <w:noWrap w:val="0"/>
            <w:vAlign w:val="center"/>
          </w:tcPr>
          <w:p>
            <w:pPr>
              <w:jc w:val="center"/>
            </w:pPr>
            <w:r>
              <w:rPr>
                <w:rFonts w:hint="eastAsia" w:ascii="宋体" w:hAnsi="宋体" w:cs="宋体"/>
                <w:sz w:val="22"/>
              </w:rPr>
              <w:t>卷</w:t>
            </w:r>
          </w:p>
        </w:tc>
        <w:tc>
          <w:tcPr>
            <w:tcW w:w="739"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auto"/>
                <w:sz w:val="22"/>
              </w:rPr>
            </w:pPr>
            <w:r>
              <w:rPr>
                <w:rFonts w:hint="eastAsia" w:ascii="宋体" w:hAnsi="宋体" w:cs="宋体"/>
                <w:color w:val="auto"/>
                <w:sz w:val="22"/>
              </w:rPr>
              <w:t>460</w:t>
            </w:r>
          </w:p>
        </w:tc>
        <w:tc>
          <w:tcPr>
            <w:tcW w:w="899"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auto"/>
                <w:sz w:val="22"/>
              </w:rPr>
            </w:pPr>
            <w:r>
              <w:rPr>
                <w:rFonts w:hint="eastAsia" w:ascii="宋体" w:hAnsi="宋体" w:cs="宋体"/>
                <w:color w:val="auto"/>
                <w:sz w:val="22"/>
              </w:rPr>
              <w:t>20</w:t>
            </w:r>
          </w:p>
        </w:tc>
        <w:tc>
          <w:tcPr>
            <w:tcW w:w="965"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ascii="宋体" w:hAnsi="宋体" w:cs="宋体"/>
                <w:sz w:val="22"/>
              </w:rPr>
            </w:pPr>
            <w:r>
              <w:rPr>
                <w:rFonts w:hint="eastAsia" w:ascii="宋体" w:hAnsi="宋体" w:eastAsia="宋体" w:cs="宋体"/>
                <w:color w:val="000000"/>
                <w:kern w:val="0"/>
                <w:sz w:val="24"/>
                <w:szCs w:val="24"/>
              </w:rPr>
              <w:t>9200</w:t>
            </w:r>
          </w:p>
        </w:tc>
        <w:tc>
          <w:tcPr>
            <w:tcW w:w="902" w:type="dxa"/>
            <w:vMerge w:val="continue"/>
            <w:tcBorders>
              <w:left w:val="nil"/>
              <w:right w:val="single" w:color="auto" w:sz="4" w:space="0"/>
            </w:tcBorders>
            <w:noWrap w:val="0"/>
            <w:vAlign w:val="center"/>
          </w:tcPr>
          <w:p>
            <w:pPr>
              <w:jc w:val="center"/>
            </w:pPr>
          </w:p>
        </w:tc>
        <w:tc>
          <w:tcPr>
            <w:tcW w:w="4147" w:type="dxa"/>
            <w:vMerge w:val="continue"/>
            <w:tcBorders>
              <w:left w:val="nil"/>
              <w:right w:val="single" w:color="auto" w:sz="4" w:space="0"/>
            </w:tcBorders>
            <w:noWrap w:val="0"/>
            <w:vAlign w:val="center"/>
          </w:tcPr>
          <w:p>
            <w:pPr>
              <w:jc w:val="left"/>
              <w:rPr>
                <w:rFonts w:ascii="宋体" w:hAnsi="宋体" w:cs="宋体"/>
                <w:sz w:val="22"/>
              </w:rPr>
            </w:pPr>
          </w:p>
        </w:tc>
      </w:tr>
      <w:tr>
        <w:tblPrEx>
          <w:tblCellMar>
            <w:top w:w="0" w:type="dxa"/>
            <w:left w:w="108" w:type="dxa"/>
            <w:bottom w:w="0" w:type="dxa"/>
            <w:right w:w="108" w:type="dxa"/>
          </w:tblCellMar>
        </w:tblPrEx>
        <w:trPr>
          <w:trHeight w:val="3660" w:hRule="atLeast"/>
        </w:trPr>
        <w:tc>
          <w:tcPr>
            <w:tcW w:w="619" w:type="dxa"/>
            <w:vMerge w:val="continue"/>
            <w:tcBorders>
              <w:left w:val="single" w:color="auto" w:sz="4" w:space="0"/>
              <w:bottom w:val="single" w:color="auto" w:sz="4" w:space="0"/>
              <w:right w:val="single" w:color="auto" w:sz="4" w:space="0"/>
            </w:tcBorders>
            <w:noWrap w:val="0"/>
            <w:vAlign w:val="center"/>
          </w:tcPr>
          <w:p>
            <w:pPr>
              <w:jc w:val="center"/>
              <w:rPr>
                <w:rFonts w:ascii="宋体" w:hAnsi="宋体" w:cs="宋体"/>
                <w:sz w:val="22"/>
              </w:rPr>
            </w:pPr>
          </w:p>
        </w:tc>
        <w:tc>
          <w:tcPr>
            <w:tcW w:w="1369" w:type="dxa"/>
            <w:vMerge w:val="continue"/>
            <w:tcBorders>
              <w:left w:val="nil"/>
              <w:bottom w:val="single" w:color="auto" w:sz="4" w:space="0"/>
              <w:right w:val="single" w:color="auto" w:sz="4" w:space="0"/>
            </w:tcBorders>
            <w:noWrap w:val="0"/>
            <w:vAlign w:val="center"/>
          </w:tcPr>
          <w:p>
            <w:pPr>
              <w:jc w:val="center"/>
              <w:rPr>
                <w:rFonts w:ascii="宋体" w:hAnsi="宋体" w:cs="宋体"/>
                <w:sz w:val="22"/>
              </w:rPr>
            </w:pPr>
          </w:p>
        </w:tc>
        <w:tc>
          <w:tcPr>
            <w:tcW w:w="1580"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300MM*100M</w:t>
            </w:r>
          </w:p>
        </w:tc>
        <w:tc>
          <w:tcPr>
            <w:tcW w:w="555" w:type="dxa"/>
            <w:tcBorders>
              <w:top w:val="single" w:color="auto" w:sz="4" w:space="0"/>
              <w:left w:val="nil"/>
              <w:bottom w:val="single" w:color="auto" w:sz="4" w:space="0"/>
              <w:right w:val="single" w:color="auto" w:sz="4" w:space="0"/>
            </w:tcBorders>
            <w:noWrap w:val="0"/>
            <w:vAlign w:val="center"/>
          </w:tcPr>
          <w:p>
            <w:pPr>
              <w:jc w:val="center"/>
            </w:pPr>
            <w:r>
              <w:rPr>
                <w:rFonts w:hint="eastAsia" w:ascii="宋体" w:hAnsi="宋体" w:cs="宋体"/>
                <w:sz w:val="22"/>
              </w:rPr>
              <w:t>卷</w:t>
            </w:r>
          </w:p>
        </w:tc>
        <w:tc>
          <w:tcPr>
            <w:tcW w:w="739"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sz w:val="22"/>
              </w:rPr>
            </w:pPr>
            <w:r>
              <w:rPr>
                <w:rFonts w:hint="eastAsia" w:ascii="宋体" w:hAnsi="宋体" w:cs="宋体"/>
                <w:sz w:val="22"/>
              </w:rPr>
              <w:t>590</w:t>
            </w:r>
          </w:p>
        </w:tc>
        <w:tc>
          <w:tcPr>
            <w:tcW w:w="899"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FF0000"/>
                <w:sz w:val="22"/>
              </w:rPr>
            </w:pPr>
            <w:r>
              <w:rPr>
                <w:rFonts w:hint="eastAsia" w:ascii="宋体" w:hAnsi="宋体" w:cs="宋体"/>
                <w:color w:val="auto"/>
                <w:sz w:val="22"/>
              </w:rPr>
              <w:t>20</w:t>
            </w:r>
          </w:p>
        </w:tc>
        <w:tc>
          <w:tcPr>
            <w:tcW w:w="965"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ascii="宋体" w:hAnsi="宋体" w:cs="宋体"/>
                <w:sz w:val="22"/>
              </w:rPr>
            </w:pPr>
            <w:r>
              <w:rPr>
                <w:rFonts w:hint="eastAsia" w:ascii="宋体" w:hAnsi="宋体" w:eastAsia="宋体" w:cs="宋体"/>
                <w:color w:val="000000"/>
                <w:kern w:val="0"/>
                <w:sz w:val="24"/>
                <w:szCs w:val="24"/>
              </w:rPr>
              <w:t>11800</w:t>
            </w:r>
          </w:p>
        </w:tc>
        <w:tc>
          <w:tcPr>
            <w:tcW w:w="902" w:type="dxa"/>
            <w:vMerge w:val="continue"/>
            <w:tcBorders>
              <w:left w:val="nil"/>
              <w:bottom w:val="single" w:color="auto" w:sz="4" w:space="0"/>
              <w:right w:val="single" w:color="auto" w:sz="4" w:space="0"/>
            </w:tcBorders>
            <w:noWrap w:val="0"/>
            <w:vAlign w:val="center"/>
          </w:tcPr>
          <w:p>
            <w:pPr>
              <w:jc w:val="center"/>
            </w:pPr>
          </w:p>
        </w:tc>
        <w:tc>
          <w:tcPr>
            <w:tcW w:w="4147" w:type="dxa"/>
            <w:vMerge w:val="continue"/>
            <w:tcBorders>
              <w:left w:val="nil"/>
              <w:bottom w:val="single" w:color="auto" w:sz="4" w:space="0"/>
              <w:right w:val="single" w:color="auto" w:sz="4" w:space="0"/>
            </w:tcBorders>
            <w:noWrap w:val="0"/>
            <w:vAlign w:val="center"/>
          </w:tcPr>
          <w:p>
            <w:pPr>
              <w:jc w:val="left"/>
              <w:rPr>
                <w:rFonts w:ascii="宋体" w:hAnsi="宋体" w:cs="宋体"/>
                <w:sz w:val="22"/>
              </w:rPr>
            </w:pPr>
          </w:p>
        </w:tc>
      </w:tr>
    </w:tbl>
    <w:p>
      <w:pPr>
        <w:rPr>
          <w:rFonts w:hint="eastAsia"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 蚌埠市第三人民医院甲醛灭菌相关耗材一批采购项目采购意向及需求公示的反馈意见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w:t>
      </w:r>
      <w:r>
        <w:rPr>
          <w:rFonts w:hint="eastAsia" w:ascii="宋体" w:hAnsi="宋体" w:cs="宋体"/>
          <w:b/>
          <w:bCs/>
          <w:sz w:val="28"/>
          <w:szCs w:val="28"/>
          <w:highlight w:val="none"/>
        </w:rPr>
        <w:t>蚌埠市第三人民医院甲醛灭菌相关耗材一批采购项目</w:t>
      </w:r>
      <w:r>
        <w:rPr>
          <w:rFonts w:hint="eastAsia" w:ascii="宋体" w:hAnsi="宋体" w:cs="宋体"/>
          <w:sz w:val="28"/>
          <w:szCs w:val="28"/>
          <w:highlight w:val="none"/>
        </w:rPr>
        <w:t>,采购</w:t>
      </w:r>
      <w:bookmarkStart w:id="0" w:name="_GoBack"/>
      <w:bookmarkEnd w:id="0"/>
      <w:r>
        <w:rPr>
          <w:rFonts w:hint="eastAsia" w:ascii="宋体" w:hAnsi="宋体" w:cs="宋体"/>
          <w:sz w:val="28"/>
          <w:szCs w:val="28"/>
          <w:highlight w:val="none"/>
        </w:rPr>
        <w:t>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3"/>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90EA0"/>
    <w:multiLevelType w:val="multilevel"/>
    <w:tmpl w:val="34990EA0"/>
    <w:lvl w:ilvl="0" w:tentative="0">
      <w:start w:val="1"/>
      <w:numFmt w:val="decimal"/>
      <w:lvlText w:val="%1"/>
      <w:lvlJc w:val="left"/>
      <w:pPr>
        <w:ind w:left="432" w:hanging="432"/>
      </w:pPr>
    </w:lvl>
    <w:lvl w:ilvl="1" w:tentative="0">
      <w:start w:val="1"/>
      <w:numFmt w:val="decimal"/>
      <w:pStyle w:val="5"/>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
    <w:nsid w:val="432F149B"/>
    <w:multiLevelType w:val="multilevel"/>
    <w:tmpl w:val="432F149B"/>
    <w:lvl w:ilvl="0" w:tentative="0">
      <w:start w:val="1"/>
      <w:numFmt w:val="decimal"/>
      <w:lvlText w:val="%1、"/>
      <w:lvlJc w:val="left"/>
      <w:pPr>
        <w:ind w:left="480" w:hanging="360"/>
      </w:pPr>
      <w:rPr>
        <w:rFonts w:hint="default"/>
      </w:rPr>
    </w:lvl>
    <w:lvl w:ilvl="1" w:tentative="0">
      <w:start w:val="1"/>
      <w:numFmt w:val="lowerLetter"/>
      <w:lvlText w:val="%2)"/>
      <w:lvlJc w:val="left"/>
      <w:pPr>
        <w:ind w:left="960" w:hanging="420"/>
      </w:pPr>
    </w:lvl>
    <w:lvl w:ilvl="2" w:tentative="0">
      <w:start w:val="1"/>
      <w:numFmt w:val="lowerRoman"/>
      <w:lvlText w:val="%3."/>
      <w:lvlJc w:val="right"/>
      <w:pPr>
        <w:ind w:left="1380" w:hanging="420"/>
      </w:pPr>
    </w:lvl>
    <w:lvl w:ilvl="3" w:tentative="0">
      <w:start w:val="1"/>
      <w:numFmt w:val="decimal"/>
      <w:lvlText w:val="%4."/>
      <w:lvlJc w:val="left"/>
      <w:pPr>
        <w:ind w:left="1800" w:hanging="420"/>
      </w:pPr>
    </w:lvl>
    <w:lvl w:ilvl="4" w:tentative="0">
      <w:start w:val="1"/>
      <w:numFmt w:val="lowerLetter"/>
      <w:lvlText w:val="%5)"/>
      <w:lvlJc w:val="left"/>
      <w:pPr>
        <w:ind w:left="2220" w:hanging="420"/>
      </w:pPr>
    </w:lvl>
    <w:lvl w:ilvl="5" w:tentative="0">
      <w:start w:val="1"/>
      <w:numFmt w:val="lowerRoman"/>
      <w:lvlText w:val="%6."/>
      <w:lvlJc w:val="right"/>
      <w:pPr>
        <w:ind w:left="2640" w:hanging="420"/>
      </w:pPr>
    </w:lvl>
    <w:lvl w:ilvl="6" w:tentative="0">
      <w:start w:val="1"/>
      <w:numFmt w:val="decimal"/>
      <w:lvlText w:val="%7."/>
      <w:lvlJc w:val="left"/>
      <w:pPr>
        <w:ind w:left="3060" w:hanging="420"/>
      </w:pPr>
    </w:lvl>
    <w:lvl w:ilvl="7" w:tentative="0">
      <w:start w:val="1"/>
      <w:numFmt w:val="lowerLetter"/>
      <w:lvlText w:val="%8)"/>
      <w:lvlJc w:val="left"/>
      <w:pPr>
        <w:ind w:left="3480" w:hanging="420"/>
      </w:pPr>
    </w:lvl>
    <w:lvl w:ilvl="8" w:tentative="0">
      <w:start w:val="1"/>
      <w:numFmt w:val="lowerRoman"/>
      <w:lvlText w:val="%9."/>
      <w:lvlJc w:val="right"/>
      <w:pPr>
        <w:ind w:left="3900" w:hanging="420"/>
      </w:pPr>
    </w:lvl>
  </w:abstractNum>
  <w:abstractNum w:abstractNumId="2">
    <w:nsid w:val="79A6B715"/>
    <w:multiLevelType w:val="singleLevel"/>
    <w:tmpl w:val="79A6B715"/>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3F618F7"/>
    <w:rsid w:val="05BB0E6A"/>
    <w:rsid w:val="07884358"/>
    <w:rsid w:val="088157DD"/>
    <w:rsid w:val="0EA531C5"/>
    <w:rsid w:val="0F7977F4"/>
    <w:rsid w:val="102871DA"/>
    <w:rsid w:val="13CC35BB"/>
    <w:rsid w:val="19E1315F"/>
    <w:rsid w:val="1A4F03D7"/>
    <w:rsid w:val="1A5F0800"/>
    <w:rsid w:val="20701E96"/>
    <w:rsid w:val="20CA5CC3"/>
    <w:rsid w:val="21580108"/>
    <w:rsid w:val="24AE53EF"/>
    <w:rsid w:val="2D925870"/>
    <w:rsid w:val="3A59465F"/>
    <w:rsid w:val="3D3F4BEA"/>
    <w:rsid w:val="442C0469"/>
    <w:rsid w:val="44C73830"/>
    <w:rsid w:val="45156B9E"/>
    <w:rsid w:val="480656EC"/>
    <w:rsid w:val="48212119"/>
    <w:rsid w:val="49FF005C"/>
    <w:rsid w:val="4D071309"/>
    <w:rsid w:val="52FB7715"/>
    <w:rsid w:val="557F2179"/>
    <w:rsid w:val="558D68E8"/>
    <w:rsid w:val="56DD42FB"/>
    <w:rsid w:val="5C267B9A"/>
    <w:rsid w:val="5C6E4623"/>
    <w:rsid w:val="5D480901"/>
    <w:rsid w:val="5F2B5C40"/>
    <w:rsid w:val="5FF4532C"/>
    <w:rsid w:val="60360E90"/>
    <w:rsid w:val="630E2FA0"/>
    <w:rsid w:val="63985972"/>
    <w:rsid w:val="64EA6690"/>
    <w:rsid w:val="67EF7DEE"/>
    <w:rsid w:val="68ED244F"/>
    <w:rsid w:val="6D663E0B"/>
    <w:rsid w:val="6E5318EA"/>
    <w:rsid w:val="6F915E09"/>
    <w:rsid w:val="6F922F7F"/>
    <w:rsid w:val="703F64BC"/>
    <w:rsid w:val="70ED1F4E"/>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next w:val="1"/>
    <w:qFormat/>
    <w:uiPriority w:val="0"/>
    <w:pPr>
      <w:snapToGrid w:val="0"/>
    </w:pPr>
    <w:rPr>
      <w:rFonts w:ascii="Arial" w:hAnsi="Arial" w:cs="Arial"/>
    </w:rPr>
  </w:style>
  <w:style w:type="paragraph" w:styleId="6">
    <w:name w:val="annotation text"/>
    <w:basedOn w:val="1"/>
    <w:link w:val="24"/>
    <w:semiHidden/>
    <w:unhideWhenUsed/>
    <w:qFormat/>
    <w:uiPriority w:val="99"/>
    <w:pPr>
      <w:jc w:val="left"/>
    </w:pPr>
  </w:style>
  <w:style w:type="paragraph" w:styleId="7">
    <w:name w:val="Body Text"/>
    <w:basedOn w:val="1"/>
    <w:next w:val="8"/>
    <w:qFormat/>
    <w:uiPriority w:val="0"/>
    <w:rPr>
      <w:rFonts w:ascii="宋体" w:hAnsi="Arial"/>
      <w:sz w:val="28"/>
    </w:rPr>
  </w:style>
  <w:style w:type="paragraph" w:customStyle="1" w:styleId="8">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paragraph" w:styleId="9">
    <w:name w:val="Balloon Text"/>
    <w:basedOn w:val="1"/>
    <w:link w:val="26"/>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Normal (Web)"/>
    <w:basedOn w:val="1"/>
    <w:unhideWhenUsed/>
    <w:qFormat/>
    <w:uiPriority w:val="0"/>
    <w:pPr>
      <w:spacing w:beforeAutospacing="1" w:afterAutospacing="1"/>
      <w:jc w:val="left"/>
    </w:pPr>
    <w:rPr>
      <w:kern w:val="0"/>
      <w:sz w:val="24"/>
    </w:rPr>
  </w:style>
  <w:style w:type="paragraph" w:styleId="14">
    <w:name w:val="annotation subject"/>
    <w:basedOn w:val="6"/>
    <w:next w:val="6"/>
    <w:link w:val="25"/>
    <w:semiHidden/>
    <w:unhideWhenUsed/>
    <w:qFormat/>
    <w:uiPriority w:val="99"/>
    <w:rPr>
      <w:b/>
      <w:bCs/>
    </w:rPr>
  </w:style>
  <w:style w:type="table" w:styleId="16">
    <w:name w:val="Table Grid"/>
    <w:basedOn w:val="15"/>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qFormat/>
    <w:uiPriority w:val="0"/>
  </w:style>
  <w:style w:type="character" w:styleId="19">
    <w:name w:val="annotation reference"/>
    <w:basedOn w:val="17"/>
    <w:semiHidden/>
    <w:unhideWhenUsed/>
    <w:qFormat/>
    <w:uiPriority w:val="99"/>
    <w:rPr>
      <w:sz w:val="21"/>
      <w:szCs w:val="21"/>
    </w:rPr>
  </w:style>
  <w:style w:type="character" w:customStyle="1" w:styleId="20">
    <w:name w:val="页眉 Char"/>
    <w:basedOn w:val="17"/>
    <w:link w:val="11"/>
    <w:semiHidden/>
    <w:qFormat/>
    <w:uiPriority w:val="99"/>
    <w:rPr>
      <w:sz w:val="18"/>
      <w:szCs w:val="18"/>
    </w:rPr>
  </w:style>
  <w:style w:type="character" w:customStyle="1" w:styleId="21">
    <w:name w:val="页脚 Char"/>
    <w:basedOn w:val="17"/>
    <w:link w:val="10"/>
    <w:semiHidden/>
    <w:qFormat/>
    <w:uiPriority w:val="99"/>
    <w:rPr>
      <w:sz w:val="18"/>
      <w:szCs w:val="18"/>
    </w:rPr>
  </w:style>
  <w:style w:type="paragraph" w:customStyle="1" w:styleId="22">
    <w:name w:val="列出段落1"/>
    <w:basedOn w:val="1"/>
    <w:qFormat/>
    <w:uiPriority w:val="34"/>
    <w:pPr>
      <w:ind w:firstLine="420" w:firstLineChars="200"/>
    </w:pPr>
  </w:style>
  <w:style w:type="paragraph" w:styleId="23">
    <w:name w:val="List Paragraph"/>
    <w:basedOn w:val="1"/>
    <w:unhideWhenUsed/>
    <w:qFormat/>
    <w:uiPriority w:val="99"/>
    <w:pPr>
      <w:ind w:firstLine="420" w:firstLineChars="200"/>
    </w:pPr>
  </w:style>
  <w:style w:type="character" w:customStyle="1" w:styleId="24">
    <w:name w:val="批注文字 Char"/>
    <w:basedOn w:val="17"/>
    <w:link w:val="6"/>
    <w:semiHidden/>
    <w:qFormat/>
    <w:uiPriority w:val="99"/>
    <w:rPr>
      <w:kern w:val="2"/>
      <w:sz w:val="21"/>
      <w:szCs w:val="22"/>
    </w:rPr>
  </w:style>
  <w:style w:type="character" w:customStyle="1" w:styleId="25">
    <w:name w:val="批注主题 Char"/>
    <w:basedOn w:val="24"/>
    <w:link w:val="14"/>
    <w:semiHidden/>
    <w:qFormat/>
    <w:uiPriority w:val="99"/>
    <w:rPr>
      <w:b/>
      <w:bCs/>
    </w:rPr>
  </w:style>
  <w:style w:type="character" w:customStyle="1" w:styleId="26">
    <w:name w:val="批注框文本 Char"/>
    <w:basedOn w:val="17"/>
    <w:link w:val="9"/>
    <w:semiHidden/>
    <w:qFormat/>
    <w:uiPriority w:val="99"/>
    <w:rPr>
      <w:kern w:val="2"/>
      <w:sz w:val="18"/>
      <w:szCs w:val="18"/>
    </w:rPr>
  </w:style>
  <w:style w:type="paragraph" w:customStyle="1" w:styleId="27">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28">
    <w:name w:val="Normal"/>
    <w:qFormat/>
    <w:uiPriority w:val="0"/>
    <w:rPr>
      <w:rFonts w:ascii="Times New Roman" w:hAnsi="Times New Roman" w:eastAsia="Times New Roman" w:cs="Times New Roman"/>
      <w:sz w:val="24"/>
      <w:szCs w:val="24"/>
      <w:lang w:bidi="ar-SA"/>
    </w:rPr>
  </w:style>
  <w:style w:type="table" w:customStyle="1" w:styleId="29">
    <w:name w:val="Plain Table 1"/>
    <w:basedOn w:val="15"/>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1">
    <w:name w:val="D&amp;L"/>
    <w:basedOn w:val="11"/>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1269</Words>
  <Characters>1364</Characters>
  <Lines>57</Lines>
  <Paragraphs>16</Paragraphs>
  <TotalTime>1</TotalTime>
  <ScaleCrop>false</ScaleCrop>
  <LinksUpToDate>false</LinksUpToDate>
  <CharactersWithSpaces>1389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2023-08-10T07:45:04Z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8722C9F311B44D40B7E9279C1A83C4B1_13</vt:lpwstr>
  </property>
</Properties>
</file>