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52"/>
          <w:szCs w:val="52"/>
          <w:shd w:val="clear" w:color="auto" w:fill="FFFFFF"/>
        </w:rPr>
      </w:pPr>
      <w:r>
        <w:rPr>
          <w:rFonts w:hint="eastAsia" w:ascii="宋体" w:hAnsi="宋体" w:cs="宋体"/>
          <w:b/>
          <w:bCs/>
          <w:kern w:val="0"/>
          <w:sz w:val="52"/>
          <w:szCs w:val="52"/>
          <w:shd w:val="clear" w:color="auto" w:fill="FFFFFF"/>
        </w:rPr>
        <w:t>蚌埠市第一人民医院委托第三方检测及验收服务采购项目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8</w:t>
      </w:r>
      <w:r>
        <w:rPr>
          <w:rFonts w:hint="eastAsia" w:ascii="宋体" w:hAnsi="宋体" w:cs="宋体"/>
          <w:sz w:val="28"/>
          <w:szCs w:val="28"/>
          <w:u w:val="single"/>
        </w:rPr>
        <w:t>月</w:t>
      </w:r>
      <w:r>
        <w:rPr>
          <w:rFonts w:hint="eastAsia" w:ascii="宋体" w:hAnsi="宋体" w:cs="宋体"/>
          <w:sz w:val="28"/>
          <w:szCs w:val="28"/>
          <w:u w:val="single"/>
          <w:lang w:val="en-US" w:eastAsia="zh-CN"/>
        </w:rPr>
        <w:t>16</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项目名称：蚌埠市第一人民医院委托第三方检测及验收服务采购项目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4、项目编号：ZCGF-BBYY-2023064</w:t>
      </w:r>
    </w:p>
    <w:p>
      <w:pPr>
        <w:widowControl/>
        <w:snapToGrid w:val="0"/>
        <w:spacing w:line="360" w:lineRule="auto"/>
        <w:jc w:val="left"/>
        <w:rPr>
          <w:rFonts w:hint="eastAsia" w:ascii="宋体" w:hAnsi="宋体" w:cs="宋体"/>
          <w:color w:val="auto"/>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w:t>
      </w:r>
      <w:r>
        <w:rPr>
          <w:rFonts w:hint="eastAsia" w:ascii="宋体" w:hAnsi="宋体" w:cs="宋体"/>
          <w:color w:val="auto"/>
          <w:kern w:val="0"/>
          <w:sz w:val="24"/>
          <w:szCs w:val="24"/>
          <w:highlight w:val="none"/>
          <w:shd w:val="clear" w:color="auto" w:fill="FFFFFF"/>
        </w:rPr>
        <w:t>蚌埠市第一人民医院委托第三方检测及验收服务采购项目，蚌埠市第一人民医院拟招标第三方机构对院内单价超过5万元的医疗设备进行检测及验收，并出具合格的检测及验收报告。本项目选择三家中标单位，每项目检测前由招标人随机抽取一家负责该项目的检测验收工作。中标公司应在接到招标人通知后，安排具有资质的人员7日内到达现</w:t>
      </w:r>
      <w:bookmarkStart w:id="0" w:name="_GoBack"/>
      <w:bookmarkEnd w:id="0"/>
      <w:r>
        <w:rPr>
          <w:rFonts w:hint="eastAsia" w:ascii="宋体" w:hAnsi="宋体" w:cs="宋体"/>
          <w:color w:val="auto"/>
          <w:kern w:val="0"/>
          <w:sz w:val="24"/>
          <w:szCs w:val="24"/>
          <w:highlight w:val="none"/>
          <w:shd w:val="clear" w:color="auto" w:fill="FFFFFF"/>
        </w:rPr>
        <w:t>场并完成检测及验收，3个工作日内出具报告。</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6、项目预算：无</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7、服务时间：2年。（以合同签订时间开始计算）</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9、付款方式：检测及质量验收的费用由医疗器械中标方承担。第三方检测、验收机构收到检测验收费用后，5个工作日内交付验收资料。</w:t>
      </w:r>
    </w:p>
    <w:p>
      <w:pPr>
        <w:pStyle w:val="2"/>
        <w:ind w:left="0" w:leftChars="0" w:firstLine="0" w:firstLineChars="0"/>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10、项目类型：服务类</w:t>
      </w:r>
    </w:p>
    <w:p>
      <w:pPr>
        <w:pStyle w:val="13"/>
        <w:widowControl/>
        <w:shd w:val="clear" w:color="auto" w:fill="FFFFFF"/>
        <w:spacing w:beforeAutospacing="0" w:afterAutospacing="0" w:line="360" w:lineRule="auto"/>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lang w:val="en-US" w:eastAsia="zh-CN"/>
        </w:rPr>
        <w:t>11</w:t>
      </w:r>
      <w:r>
        <w:rPr>
          <w:rFonts w:hint="eastAsia" w:ascii="宋体" w:hAnsi="宋体" w:cs="宋体"/>
          <w:color w:val="auto"/>
          <w:szCs w:val="24"/>
          <w:highlight w:val="none"/>
          <w:shd w:val="clear" w:color="auto" w:fill="FFFFFF"/>
        </w:rPr>
        <w:t>、申请人的资格要求：</w:t>
      </w:r>
    </w:p>
    <w:p>
      <w:pPr>
        <w:pStyle w:val="28"/>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1.满足《中华人民共和国政府采购法》第二十二条规定；</w:t>
      </w:r>
    </w:p>
    <w:p>
      <w:pPr>
        <w:pStyle w:val="28"/>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2.落实政府采购政策需满足的资格要求：</w:t>
      </w:r>
      <w:r>
        <w:rPr>
          <w:rFonts w:hint="eastAsia" w:ascii="宋体" w:hAnsi="宋体" w:eastAsia="宋体" w:cs="宋体"/>
          <w:color w:val="auto"/>
          <w:u w:val="single"/>
          <w:lang w:val="zh-CN" w:eastAsia="zh-CN"/>
        </w:rPr>
        <w:t>无</w:t>
      </w:r>
    </w:p>
    <w:p>
      <w:pPr>
        <w:pStyle w:val="28"/>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3.本项目的特定资格要求：</w:t>
      </w:r>
    </w:p>
    <w:p>
      <w:pPr>
        <w:autoSpaceDE w:val="0"/>
        <w:autoSpaceDN w:val="0"/>
        <w:adjustRightInd w:val="0"/>
        <w:spacing w:line="360" w:lineRule="auto"/>
        <w:jc w:val="left"/>
        <w:rPr>
          <w:rFonts w:hint="eastAsia" w:ascii="宋体" w:hAnsi="宋体" w:cs="宋体"/>
          <w:color w:val="auto"/>
          <w:sz w:val="24"/>
          <w:szCs w:val="28"/>
          <w:highlight w:val="none"/>
        </w:rPr>
      </w:pPr>
      <w:r>
        <w:rPr>
          <w:rFonts w:hint="eastAsia" w:ascii="宋体" w:hAnsi="宋体" w:cs="宋体"/>
          <w:color w:val="auto"/>
          <w:sz w:val="24"/>
          <w:szCs w:val="28"/>
          <w:lang w:val="en-US" w:eastAsia="zh-CN"/>
        </w:rPr>
        <w:t>3.1</w:t>
      </w:r>
      <w:r>
        <w:rPr>
          <w:rFonts w:hint="eastAsia" w:ascii="宋体" w:hAnsi="宋体" w:cs="宋体"/>
          <w:color w:val="auto"/>
          <w:sz w:val="24"/>
          <w:szCs w:val="28"/>
          <w:highlight w:val="none"/>
        </w:rPr>
        <w:t>投标人须具有</w:t>
      </w:r>
      <w:r>
        <w:rPr>
          <w:rFonts w:hint="eastAsia" w:ascii="宋体" w:hAnsi="宋体" w:cs="宋体"/>
          <w:color w:val="auto"/>
          <w:sz w:val="24"/>
          <w:szCs w:val="28"/>
          <w:highlight w:val="none"/>
          <w:lang w:val="en-US" w:eastAsia="zh-CN"/>
        </w:rPr>
        <w:t>有效</w:t>
      </w:r>
      <w:r>
        <w:rPr>
          <w:rFonts w:hint="eastAsia" w:ascii="宋体" w:hAnsi="宋体" w:cs="宋体"/>
          <w:color w:val="auto"/>
          <w:sz w:val="24"/>
          <w:szCs w:val="28"/>
          <w:highlight w:val="none"/>
        </w:rPr>
        <w:t>的营业执照；</w:t>
      </w:r>
    </w:p>
    <w:p>
      <w:pPr>
        <w:pStyle w:val="2"/>
        <w:spacing w:line="360" w:lineRule="auto"/>
        <w:ind w:left="0" w:leftChars="0" w:firstLine="0" w:firstLineChars="0"/>
        <w:rPr>
          <w:rFonts w:hint="default" w:ascii="宋体" w:hAnsi="宋体" w:eastAsia="宋体" w:cs="宋体"/>
          <w:color w:val="auto"/>
          <w:kern w:val="2"/>
          <w:sz w:val="24"/>
          <w:szCs w:val="28"/>
          <w:highlight w:val="none"/>
          <w:lang w:val="en-US" w:eastAsia="zh-CN" w:bidi="ar-SA"/>
        </w:rPr>
      </w:pPr>
      <w:r>
        <w:rPr>
          <w:rFonts w:hint="eastAsia" w:ascii="宋体" w:hAnsi="宋体" w:eastAsia="宋体" w:cs="宋体"/>
          <w:color w:val="auto"/>
          <w:kern w:val="2"/>
          <w:sz w:val="24"/>
          <w:szCs w:val="28"/>
          <w:highlight w:val="none"/>
          <w:lang w:val="en-US" w:eastAsia="zh-CN" w:bidi="ar-SA"/>
        </w:rPr>
        <w:t>3.2投标人须为法定计量检定机构或具有市场监督管理局核准的第三方计量校准技术机构；具备履约能力所必需的设备和专业技术能力，提供资质证书证明。</w:t>
      </w:r>
    </w:p>
    <w:p>
      <w:pPr>
        <w:rPr>
          <w:rFonts w:hint="eastAsia"/>
          <w:color w:val="auto"/>
          <w:sz w:val="44"/>
          <w:szCs w:val="44"/>
          <w:lang w:val="en-US" w:eastAsia="zh-CN"/>
        </w:rPr>
      </w:pPr>
      <w:r>
        <w:rPr>
          <w:rFonts w:hint="eastAsia"/>
          <w:color w:val="auto"/>
          <w:sz w:val="44"/>
          <w:szCs w:val="44"/>
          <w:lang w:val="en-US" w:eastAsia="zh-CN"/>
        </w:rPr>
        <w:br w:type="page"/>
      </w:r>
    </w:p>
    <w:p>
      <w:pPr>
        <w:spacing w:line="12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蚌埠市第一人民医院委托第三方检测及验收服务采购项目采购需求</w:t>
      </w:r>
    </w:p>
    <w:p>
      <w:pPr>
        <w:ind w:left="-600" w:leftChars="-294" w:hanging="17" w:hangingChars="6"/>
        <w:rPr>
          <w:rFonts w:ascii="仿宋" w:hAnsi="仿宋" w:eastAsia="仿宋" w:cs="仿宋"/>
          <w:b/>
          <w:bCs/>
          <w:sz w:val="28"/>
          <w:szCs w:val="36"/>
        </w:rPr>
      </w:pPr>
      <w:r>
        <w:rPr>
          <w:rFonts w:hint="eastAsia" w:ascii="仿宋" w:hAnsi="仿宋" w:eastAsia="仿宋" w:cs="仿宋"/>
          <w:b/>
          <w:bCs/>
          <w:sz w:val="28"/>
          <w:szCs w:val="36"/>
        </w:rPr>
        <w:t>一、服务范围：</w:t>
      </w:r>
    </w:p>
    <w:p>
      <w:pPr>
        <w:ind w:left="-601" w:leftChars="-294" w:hanging="16" w:hangingChars="6"/>
        <w:rPr>
          <w:rFonts w:hint="eastAsia" w:ascii="仿宋" w:hAnsi="仿宋" w:eastAsia="仿宋" w:cs="仿宋"/>
          <w:sz w:val="28"/>
          <w:szCs w:val="36"/>
          <w:lang w:val="en-US" w:eastAsia="zh-CN"/>
        </w:rPr>
      </w:pPr>
      <w:r>
        <w:rPr>
          <w:rFonts w:hint="eastAsia" w:ascii="仿宋" w:hAnsi="仿宋" w:eastAsia="仿宋" w:cs="仿宋"/>
          <w:sz w:val="28"/>
          <w:szCs w:val="36"/>
        </w:rPr>
        <w:t xml:space="preserve">  </w:t>
      </w:r>
      <w:r>
        <w:rPr>
          <w:rFonts w:hint="eastAsia" w:ascii="仿宋" w:hAnsi="仿宋" w:eastAsia="仿宋" w:cs="仿宋"/>
          <w:sz w:val="28"/>
          <w:szCs w:val="36"/>
          <w:lang w:val="en-US" w:eastAsia="zh-CN"/>
        </w:rPr>
        <w:t xml:space="preserve"> </w:t>
      </w:r>
      <w:r>
        <w:rPr>
          <w:rFonts w:hint="eastAsia" w:ascii="仿宋" w:hAnsi="仿宋" w:eastAsia="仿宋" w:cs="仿宋"/>
          <w:sz w:val="28"/>
          <w:szCs w:val="36"/>
        </w:rPr>
        <w:t>蚌埠市第一人民医院</w:t>
      </w:r>
      <w:r>
        <w:rPr>
          <w:rFonts w:hint="eastAsia" w:ascii="仿宋" w:hAnsi="仿宋" w:eastAsia="仿宋" w:cs="仿宋"/>
          <w:sz w:val="28"/>
          <w:szCs w:val="36"/>
          <w:lang w:val="en-US" w:eastAsia="zh-CN"/>
        </w:rPr>
        <w:t>拟招标第三方机构对院内待验收及新购单价超过5万元或一批总价超过50万元的医疗器械进行检测及质量验收服务，并出具合格的检测报告及质量验收报告。若本项目在开评标过程中通过初审的投标单位≥5家，则按综合得分由高到低排序前3名</w:t>
      </w:r>
      <w:r>
        <w:rPr>
          <w:rFonts w:hint="eastAsia" w:ascii="仿宋" w:hAnsi="仿宋" w:eastAsia="仿宋" w:cs="仿宋"/>
          <w:color w:val="0000FF"/>
          <w:sz w:val="28"/>
          <w:szCs w:val="36"/>
          <w:lang w:val="en-US" w:eastAsia="zh-CN"/>
        </w:rPr>
        <w:t>中标</w:t>
      </w:r>
      <w:r>
        <w:rPr>
          <w:rFonts w:hint="eastAsia" w:ascii="仿宋" w:hAnsi="仿宋" w:eastAsia="仿宋" w:cs="仿宋"/>
          <w:sz w:val="28"/>
          <w:szCs w:val="36"/>
          <w:lang w:val="en-US" w:eastAsia="zh-CN"/>
        </w:rPr>
        <w:t>；若本项目在开评标过程中通过初审的投标单位≥3且＜5家，则按综合得分由高到低排序前2名</w:t>
      </w:r>
      <w:r>
        <w:rPr>
          <w:rFonts w:hint="eastAsia" w:ascii="仿宋" w:hAnsi="仿宋" w:eastAsia="仿宋" w:cs="仿宋"/>
          <w:color w:val="0000FF"/>
          <w:sz w:val="28"/>
          <w:szCs w:val="36"/>
          <w:lang w:val="en-US" w:eastAsia="zh-CN"/>
        </w:rPr>
        <w:t>中标</w:t>
      </w:r>
      <w:r>
        <w:rPr>
          <w:rFonts w:hint="eastAsia" w:ascii="仿宋" w:hAnsi="仿宋" w:eastAsia="仿宋" w:cs="仿宋"/>
          <w:sz w:val="28"/>
          <w:szCs w:val="36"/>
          <w:lang w:val="en-US" w:eastAsia="zh-CN"/>
        </w:rPr>
        <w:t>。</w:t>
      </w:r>
      <w:r>
        <w:rPr>
          <w:rFonts w:hint="eastAsia" w:ascii="仿宋" w:hAnsi="仿宋" w:eastAsia="仿宋" w:cs="仿宋"/>
          <w:color w:val="0000FF"/>
          <w:sz w:val="28"/>
          <w:szCs w:val="28"/>
          <w:lang w:val="en-US" w:eastAsia="zh-CN"/>
        </w:rPr>
        <w:t>中标</w:t>
      </w:r>
      <w:r>
        <w:rPr>
          <w:rFonts w:hint="eastAsia" w:ascii="仿宋" w:hAnsi="仿宋" w:eastAsia="仿宋" w:cs="仿宋"/>
          <w:sz w:val="28"/>
          <w:szCs w:val="28"/>
          <w:lang w:val="en-US" w:eastAsia="zh-CN"/>
        </w:rPr>
        <w:t>的投标单位组成蚌埠市第一人民医院医疗器械第三方检测、质量验收成员单位。</w:t>
      </w:r>
    </w:p>
    <w:p>
      <w:pPr>
        <w:ind w:left="-600" w:leftChars="-294" w:hanging="17" w:hangingChars="6"/>
        <w:rPr>
          <w:rFonts w:ascii="仿宋" w:hAnsi="仿宋" w:eastAsia="仿宋" w:cs="仿宋"/>
          <w:b/>
          <w:bCs/>
          <w:sz w:val="28"/>
          <w:szCs w:val="36"/>
        </w:rPr>
      </w:pPr>
      <w:r>
        <w:rPr>
          <w:rFonts w:hint="eastAsia" w:ascii="仿宋" w:hAnsi="仿宋" w:eastAsia="仿宋" w:cs="仿宋"/>
          <w:b/>
          <w:bCs/>
          <w:sz w:val="28"/>
          <w:szCs w:val="36"/>
        </w:rPr>
        <w:t>二、服务要求：</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1.投标人需按要求对医疗设备进行检测及质量验收，并出具检测报告及质量验收报告。</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2.投标人承诺：</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2.1检测：由采购单位根据需要从蚌埠市第一人民医院医疗器械第三方检测、质量验收成员单位中随机抽取1家进行检测工作。</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2.2质量验收：单台（批）医疗器械的中标价格在200万元以内，由采购单位从</w:t>
      </w:r>
      <w:r>
        <w:rPr>
          <w:rFonts w:hint="eastAsia" w:ascii="仿宋" w:hAnsi="仿宋" w:eastAsia="仿宋" w:cs="仿宋"/>
          <w:sz w:val="28"/>
          <w:szCs w:val="28"/>
        </w:rPr>
        <w:t>安徽省级评标委员会专家库成员</w:t>
      </w:r>
      <w:r>
        <w:rPr>
          <w:rFonts w:hint="eastAsia" w:ascii="仿宋" w:hAnsi="仿宋" w:eastAsia="仿宋" w:cs="仿宋"/>
          <w:sz w:val="28"/>
          <w:szCs w:val="28"/>
          <w:lang w:val="en-US" w:eastAsia="zh-CN"/>
        </w:rPr>
        <w:t>中随机抽取≥3名单数人员组成专家组验收；单台（批）医疗器械的中标价格在200万元及以上的，由采购单位从</w:t>
      </w:r>
      <w:r>
        <w:rPr>
          <w:rFonts w:hint="eastAsia" w:ascii="仿宋" w:hAnsi="仿宋" w:eastAsia="仿宋" w:cs="仿宋"/>
          <w:sz w:val="28"/>
          <w:szCs w:val="28"/>
        </w:rPr>
        <w:t>安徽省级评标委员会专家库成员</w:t>
      </w:r>
      <w:r>
        <w:rPr>
          <w:rFonts w:hint="eastAsia" w:ascii="仿宋" w:hAnsi="仿宋" w:eastAsia="仿宋" w:cs="仿宋"/>
          <w:sz w:val="28"/>
          <w:szCs w:val="28"/>
          <w:lang w:val="en-US" w:eastAsia="zh-CN"/>
        </w:rPr>
        <w:t>中随机抽取≥5名单数人员组成专家组验收。专家组推选1名专家为组长，全程主持验收程序；质量验收时，采购单位有权鉴证、监督及核实。</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2.3检测机构、质量验收小组确定后需在</w:t>
      </w:r>
      <w:r>
        <w:rPr>
          <w:rFonts w:hint="eastAsia" w:ascii="仿宋" w:hAnsi="仿宋" w:eastAsia="仿宋" w:cs="仿宋"/>
          <w:sz w:val="28"/>
          <w:szCs w:val="28"/>
        </w:rPr>
        <w:t>7日内到达现场，</w:t>
      </w:r>
      <w:r>
        <w:rPr>
          <w:rFonts w:hint="eastAsia" w:ascii="仿宋" w:hAnsi="仿宋" w:eastAsia="仿宋" w:cs="仿宋"/>
          <w:sz w:val="28"/>
          <w:szCs w:val="28"/>
          <w:lang w:val="en-US" w:eastAsia="zh-CN"/>
        </w:rPr>
        <w:t>检测及质量验收合格后</w:t>
      </w:r>
      <w:r>
        <w:rPr>
          <w:rFonts w:hint="eastAsia" w:ascii="仿宋" w:hAnsi="仿宋" w:eastAsia="仿宋" w:cs="仿宋"/>
          <w:sz w:val="28"/>
          <w:szCs w:val="28"/>
        </w:rPr>
        <w:t>3日内出具</w:t>
      </w:r>
      <w:r>
        <w:rPr>
          <w:rFonts w:hint="eastAsia" w:ascii="仿宋" w:hAnsi="仿宋" w:eastAsia="仿宋" w:cs="仿宋"/>
          <w:sz w:val="28"/>
          <w:szCs w:val="28"/>
          <w:lang w:val="en-US" w:eastAsia="zh-CN"/>
        </w:rPr>
        <w:t>检测报告、质量验收</w:t>
      </w:r>
      <w:r>
        <w:rPr>
          <w:rFonts w:hint="eastAsia" w:ascii="仿宋" w:hAnsi="仿宋" w:eastAsia="仿宋" w:cs="仿宋"/>
          <w:sz w:val="28"/>
          <w:szCs w:val="28"/>
        </w:rPr>
        <w:t>报告</w:t>
      </w:r>
      <w:r>
        <w:rPr>
          <w:rFonts w:hint="eastAsia" w:ascii="仿宋" w:hAnsi="仿宋" w:eastAsia="仿宋" w:cs="仿宋"/>
          <w:sz w:val="28"/>
          <w:szCs w:val="28"/>
          <w:lang w:val="en-US" w:eastAsia="zh-CN"/>
        </w:rPr>
        <w:t>。如首次验收存在问题，专家组出具限期整改清单，整改结束后由采购单位按抽签原则重新抽签，组成专家组验收，二次验收结束后3日内出具最终检测报告、质量验收报告；最终检测报告、质量验收报告不合格，逐级提交上级部门处理。</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3.检测及质量验收的费用由医疗器械中标方承担。</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4.服务时间：2年。（以合同签订时间开始计算）</w:t>
      </w:r>
    </w:p>
    <w:p>
      <w:pPr>
        <w:ind w:left="-600" w:leftChars="-294" w:hanging="17" w:hangingChars="6"/>
        <w:rPr>
          <w:rFonts w:hint="eastAsia" w:ascii="仿宋" w:hAnsi="仿宋" w:eastAsia="仿宋" w:cs="仿宋"/>
          <w:sz w:val="28"/>
          <w:szCs w:val="28"/>
          <w:lang w:val="en-US" w:eastAsia="zh-CN"/>
        </w:rPr>
      </w:pPr>
      <w:r>
        <w:rPr>
          <w:rFonts w:hint="eastAsia" w:ascii="仿宋" w:hAnsi="仿宋" w:eastAsia="仿宋" w:cs="仿宋"/>
          <w:b/>
          <w:bCs/>
          <w:sz w:val="28"/>
          <w:szCs w:val="36"/>
        </w:rPr>
        <w:t>三、</w:t>
      </w:r>
      <w:r>
        <w:rPr>
          <w:rFonts w:hint="eastAsia" w:ascii="仿宋" w:hAnsi="仿宋" w:eastAsia="仿宋" w:cs="仿宋"/>
          <w:b/>
          <w:bCs/>
          <w:sz w:val="28"/>
          <w:szCs w:val="36"/>
          <w:lang w:val="en-US" w:eastAsia="zh-CN"/>
        </w:rPr>
        <w:t>收费标准</w:t>
      </w:r>
      <w:r>
        <w:rPr>
          <w:rFonts w:hint="eastAsia" w:ascii="仿宋" w:hAnsi="仿宋" w:eastAsia="仿宋" w:cs="仿宋"/>
          <w:b/>
          <w:bCs/>
          <w:sz w:val="28"/>
          <w:szCs w:val="36"/>
        </w:rPr>
        <w:t>：</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1.检测及质量验收费用：</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1.1若单台（批）器械中标价在200万元以内，固定收费＜6000元。</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1.2若单台（批）器械中标价在200万元-1000万元；收费≤中标价的0.5%。</w:t>
      </w:r>
    </w:p>
    <w:p>
      <w:pPr>
        <w:snapToGrid w:val="0"/>
        <w:spacing w:line="360" w:lineRule="auto"/>
        <w:ind w:left="-603" w:leftChars="-294" w:hanging="14" w:hangingChars="5"/>
        <w:jc w:val="left"/>
        <w:rPr>
          <w:rFonts w:hint="eastAsia" w:ascii="仿宋" w:hAnsi="仿宋" w:eastAsia="仿宋" w:cs="仿宋"/>
          <w:color w:val="auto"/>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kern w:val="2"/>
          <w:sz w:val="28"/>
          <w:szCs w:val="28"/>
          <w:lang w:val="en-US" w:eastAsia="zh-CN" w:bidi="ar-SA"/>
        </w:rPr>
        <w:t>1.3若单台（批）器械中标价≥1000万元；1000万元及以内收费≤中标价的0.5%，1000万元以外的收费≤中标价的0.3%。</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2.本收费标准包括产品检测费用、验收费用、外地检测、验收产生的差旅费及出具的检测、验收报告等一切费用。</w:t>
      </w:r>
    </w:p>
    <w:p>
      <w:pPr>
        <w:snapToGrid w:val="0"/>
        <w:spacing w:line="360" w:lineRule="auto"/>
        <w:ind w:left="-603" w:leftChars="-294" w:hanging="14" w:hangingChars="5"/>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3.若首次检测、质量验收不合格；再次检测、验收所产生的费用由医疗器械中标方与第三方机构进行协商，费用由医疗器械中标方承担。</w:t>
      </w:r>
    </w:p>
    <w:p>
      <w:pPr>
        <w:ind w:left="-600" w:leftChars="-294" w:hanging="17" w:hangingChars="6"/>
        <w:rPr>
          <w:rFonts w:hint="default" w:ascii="仿宋" w:hAnsi="仿宋" w:eastAsia="仿宋" w:cs="仿宋"/>
          <w:b/>
          <w:bCs/>
          <w:sz w:val="28"/>
          <w:szCs w:val="36"/>
          <w:lang w:val="en-US" w:eastAsia="zh-CN"/>
        </w:rPr>
      </w:pPr>
      <w:r>
        <w:rPr>
          <w:rFonts w:hint="eastAsia" w:ascii="仿宋" w:hAnsi="仿宋" w:eastAsia="仿宋" w:cs="仿宋"/>
          <w:b/>
          <w:bCs/>
          <w:sz w:val="28"/>
          <w:szCs w:val="36"/>
          <w:lang w:val="en-US" w:eastAsia="zh-CN"/>
        </w:rPr>
        <w:t>四、拟采用的评标办法：</w:t>
      </w:r>
    </w:p>
    <w:tbl>
      <w:tblPr>
        <w:tblStyle w:val="15"/>
        <w:tblW w:w="91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7"/>
        <w:gridCol w:w="1542"/>
        <w:gridCol w:w="1936"/>
        <w:gridCol w:w="48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5" w:hRule="atLeast"/>
          <w:jc w:val="center"/>
        </w:trPr>
        <w:tc>
          <w:tcPr>
            <w:tcW w:w="2409" w:type="dxa"/>
            <w:gridSpan w:val="2"/>
            <w:noWrap w:val="0"/>
            <w:vAlign w:val="center"/>
          </w:tcPr>
          <w:p>
            <w:pPr>
              <w:jc w:val="center"/>
              <w:rPr>
                <w:rFonts w:hint="eastAsia"/>
                <w:sz w:val="24"/>
                <w:szCs w:val="24"/>
              </w:rPr>
            </w:pPr>
          </w:p>
          <w:p>
            <w:pPr>
              <w:jc w:val="center"/>
              <w:rPr>
                <w:sz w:val="24"/>
                <w:szCs w:val="24"/>
              </w:rPr>
            </w:pPr>
            <w:r>
              <w:rPr>
                <w:rFonts w:hint="eastAsia"/>
                <w:sz w:val="24"/>
                <w:szCs w:val="24"/>
              </w:rPr>
              <w:t>条款号及名称</w:t>
            </w:r>
          </w:p>
        </w:tc>
        <w:tc>
          <w:tcPr>
            <w:tcW w:w="1936" w:type="dxa"/>
            <w:noWrap w:val="0"/>
            <w:vAlign w:val="center"/>
          </w:tcPr>
          <w:p>
            <w:pPr>
              <w:jc w:val="center"/>
              <w:rPr>
                <w:sz w:val="24"/>
                <w:szCs w:val="24"/>
              </w:rPr>
            </w:pPr>
            <w:r>
              <w:rPr>
                <w:rFonts w:hint="eastAsia"/>
                <w:sz w:val="24"/>
                <w:szCs w:val="24"/>
              </w:rPr>
              <w:t>评分因素</w:t>
            </w:r>
          </w:p>
        </w:tc>
        <w:tc>
          <w:tcPr>
            <w:tcW w:w="4818" w:type="dxa"/>
            <w:noWrap w:val="0"/>
            <w:vAlign w:val="center"/>
          </w:tcPr>
          <w:p>
            <w:pPr>
              <w:jc w:val="center"/>
              <w:rPr>
                <w:sz w:val="24"/>
                <w:szCs w:val="24"/>
              </w:rPr>
            </w:pPr>
            <w:r>
              <w:rPr>
                <w:rFonts w:hint="eastAsia"/>
                <w:sz w:val="24"/>
                <w:szCs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8" w:hRule="atLeast"/>
          <w:jc w:val="center"/>
        </w:trPr>
        <w:tc>
          <w:tcPr>
            <w:tcW w:w="867" w:type="dxa"/>
            <w:vMerge w:val="restart"/>
            <w:noWrap w:val="0"/>
            <w:vAlign w:val="center"/>
          </w:tcPr>
          <w:p>
            <w:pPr>
              <w:jc w:val="center"/>
              <w:rPr>
                <w:rFonts w:hint="default" w:eastAsia="宋体"/>
                <w:sz w:val="24"/>
                <w:szCs w:val="24"/>
                <w:lang w:val="en-US" w:eastAsia="zh-CN"/>
              </w:rPr>
            </w:pPr>
            <w:r>
              <w:rPr>
                <w:rFonts w:hint="eastAsia"/>
                <w:sz w:val="24"/>
                <w:szCs w:val="24"/>
                <w:lang w:val="en-US" w:eastAsia="zh-CN"/>
              </w:rPr>
              <w:t>1</w:t>
            </w:r>
          </w:p>
        </w:tc>
        <w:tc>
          <w:tcPr>
            <w:tcW w:w="1542" w:type="dxa"/>
            <w:vMerge w:val="restart"/>
            <w:noWrap w:val="0"/>
            <w:vAlign w:val="center"/>
          </w:tcPr>
          <w:p>
            <w:pPr>
              <w:jc w:val="center"/>
              <w:rPr>
                <w:rFonts w:hint="eastAsia"/>
                <w:sz w:val="24"/>
                <w:szCs w:val="24"/>
                <w:lang w:val="en-US" w:eastAsia="zh-CN"/>
              </w:rPr>
            </w:pPr>
            <w:r>
              <w:rPr>
                <w:rFonts w:hint="eastAsia"/>
                <w:sz w:val="24"/>
                <w:szCs w:val="24"/>
                <w:lang w:val="en-US" w:eastAsia="zh-CN"/>
              </w:rPr>
              <w:t>企业实力</w:t>
            </w:r>
          </w:p>
          <w:p>
            <w:pPr>
              <w:jc w:val="center"/>
              <w:rPr>
                <w:rFonts w:hint="default" w:eastAsia="宋体"/>
                <w:sz w:val="24"/>
                <w:szCs w:val="24"/>
                <w:lang w:val="en-US" w:eastAsia="zh-CN"/>
              </w:rPr>
            </w:pPr>
            <w:r>
              <w:rPr>
                <w:rFonts w:hint="eastAsia"/>
                <w:sz w:val="24"/>
                <w:szCs w:val="24"/>
                <w:lang w:val="en-US" w:eastAsia="zh-CN"/>
              </w:rPr>
              <w:t>（20分）</w:t>
            </w:r>
          </w:p>
        </w:tc>
        <w:tc>
          <w:tcPr>
            <w:tcW w:w="1936" w:type="dxa"/>
            <w:noWrap w:val="0"/>
            <w:vAlign w:val="center"/>
          </w:tcPr>
          <w:p>
            <w:pPr>
              <w:jc w:val="left"/>
              <w:rPr>
                <w:rFonts w:hint="eastAsia" w:ascii="宋体" w:hAnsi="宋体" w:cs="宋体"/>
                <w:color w:val="000000"/>
                <w:kern w:val="0"/>
                <w:sz w:val="24"/>
                <w:szCs w:val="24"/>
                <w:lang w:bidi="ar"/>
              </w:rPr>
            </w:pPr>
            <w:r>
              <w:rPr>
                <w:rFonts w:hint="eastAsia" w:ascii="宋体" w:hAnsi="宋体"/>
                <w:sz w:val="24"/>
                <w:szCs w:val="24"/>
              </w:rPr>
              <w:t xml:space="preserve">  </w:t>
            </w:r>
            <w:r>
              <w:rPr>
                <w:rFonts w:hint="eastAsia" w:ascii="宋体" w:hAnsi="宋体" w:cs="宋体"/>
                <w:color w:val="000000"/>
                <w:kern w:val="0"/>
                <w:sz w:val="24"/>
                <w:szCs w:val="24"/>
                <w:lang w:bidi="ar"/>
              </w:rPr>
              <w:t>企业业绩</w:t>
            </w:r>
          </w:p>
          <w:p>
            <w:pPr>
              <w:ind w:firstLine="240" w:firstLineChars="100"/>
              <w:jc w:val="left"/>
              <w:rPr>
                <w:rFonts w:hint="eastAsia" w:ascii="宋体" w:hAnsi="宋体"/>
                <w:sz w:val="24"/>
                <w:szCs w:val="24"/>
              </w:rPr>
            </w:pPr>
            <w:r>
              <w:rPr>
                <w:rFonts w:hint="eastAsia" w:ascii="宋体" w:hAnsi="宋体" w:cs="宋体"/>
                <w:color w:val="000000"/>
                <w:kern w:val="0"/>
                <w:sz w:val="24"/>
                <w:szCs w:val="24"/>
                <w:highlight w:val="none"/>
                <w:lang w:bidi="ar"/>
              </w:rPr>
              <w:t>（0-</w:t>
            </w:r>
            <w:r>
              <w:rPr>
                <w:rFonts w:hint="eastAsia" w:ascii="宋体" w:hAnsi="宋体" w:cs="宋体"/>
                <w:color w:val="000000"/>
                <w:kern w:val="0"/>
                <w:sz w:val="24"/>
                <w:szCs w:val="24"/>
                <w:highlight w:val="none"/>
                <w:lang w:val="en-US" w:eastAsia="zh-CN" w:bidi="ar"/>
              </w:rPr>
              <w:t>15</w:t>
            </w:r>
            <w:r>
              <w:rPr>
                <w:rFonts w:hint="eastAsia" w:ascii="宋体" w:hAnsi="宋体" w:cs="宋体"/>
                <w:color w:val="000000"/>
                <w:kern w:val="0"/>
                <w:sz w:val="24"/>
                <w:szCs w:val="24"/>
                <w:highlight w:val="none"/>
                <w:lang w:bidi="ar"/>
              </w:rPr>
              <w:t>分）</w:t>
            </w:r>
          </w:p>
        </w:tc>
        <w:tc>
          <w:tcPr>
            <w:tcW w:w="4818" w:type="dxa"/>
            <w:noWrap w:val="0"/>
            <w:vAlign w:val="center"/>
          </w:tcPr>
          <w:p>
            <w:pPr>
              <w:jc w:val="left"/>
              <w:rPr>
                <w:rFonts w:hint="eastAsia"/>
                <w:sz w:val="24"/>
                <w:szCs w:val="24"/>
              </w:rPr>
            </w:pPr>
            <w:r>
              <w:rPr>
                <w:rFonts w:hint="eastAsia"/>
                <w:sz w:val="24"/>
                <w:szCs w:val="24"/>
              </w:rPr>
              <w:t>投标人每提供一份2019年以来医疗器械的检测、校准、验收项目业绩，每个业绩得</w:t>
            </w:r>
            <w:r>
              <w:rPr>
                <w:rFonts w:hint="eastAsia"/>
                <w:sz w:val="24"/>
                <w:szCs w:val="24"/>
                <w:lang w:val="en-US" w:eastAsia="zh-CN"/>
              </w:rPr>
              <w:t>5</w:t>
            </w:r>
            <w:r>
              <w:rPr>
                <w:rFonts w:hint="eastAsia"/>
                <w:sz w:val="24"/>
                <w:szCs w:val="24"/>
              </w:rPr>
              <w:t>分，满分</w:t>
            </w:r>
            <w:r>
              <w:rPr>
                <w:rFonts w:hint="eastAsia"/>
                <w:sz w:val="24"/>
                <w:szCs w:val="24"/>
                <w:lang w:val="en-US" w:eastAsia="zh-CN"/>
              </w:rPr>
              <w:t>15</w:t>
            </w:r>
            <w:r>
              <w:rPr>
                <w:rFonts w:hint="eastAsia"/>
                <w:sz w:val="24"/>
                <w:szCs w:val="24"/>
              </w:rPr>
              <w:t>分</w:t>
            </w:r>
            <w:r>
              <w:rPr>
                <w:rFonts w:hint="eastAsia"/>
                <w:sz w:val="24"/>
                <w:szCs w:val="24"/>
                <w:lang w:eastAsia="zh-CN"/>
              </w:rPr>
              <w:t>，</w:t>
            </w:r>
            <w:r>
              <w:rPr>
                <w:rFonts w:hint="eastAsia"/>
                <w:sz w:val="24"/>
                <w:szCs w:val="24"/>
              </w:rPr>
              <w:t>不提供不得分。</w:t>
            </w:r>
          </w:p>
          <w:p>
            <w:pPr>
              <w:jc w:val="left"/>
              <w:rPr>
                <w:sz w:val="24"/>
                <w:szCs w:val="24"/>
              </w:rPr>
            </w:pPr>
            <w:r>
              <w:rPr>
                <w:rFonts w:hint="eastAsia"/>
                <w:sz w:val="24"/>
                <w:szCs w:val="24"/>
              </w:rPr>
              <w:t>提供合同关键页复印件并加盖公章；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7" w:hRule="atLeast"/>
          <w:jc w:val="center"/>
        </w:trPr>
        <w:tc>
          <w:tcPr>
            <w:tcW w:w="867" w:type="dxa"/>
            <w:vMerge w:val="continue"/>
            <w:noWrap w:val="0"/>
            <w:vAlign w:val="center"/>
          </w:tcPr>
          <w:p>
            <w:pPr>
              <w:jc w:val="center"/>
              <w:rPr>
                <w:rFonts w:hint="eastAsia"/>
                <w:sz w:val="24"/>
                <w:szCs w:val="24"/>
                <w:lang w:val="en-US" w:eastAsia="zh-CN"/>
              </w:rPr>
            </w:pPr>
          </w:p>
        </w:tc>
        <w:tc>
          <w:tcPr>
            <w:tcW w:w="1542" w:type="dxa"/>
            <w:vMerge w:val="continue"/>
            <w:noWrap w:val="0"/>
            <w:vAlign w:val="center"/>
          </w:tcPr>
          <w:p>
            <w:pPr>
              <w:jc w:val="center"/>
              <w:rPr>
                <w:rFonts w:hint="eastAsia"/>
                <w:sz w:val="24"/>
                <w:szCs w:val="24"/>
                <w:lang w:val="en-US" w:eastAsia="zh-CN"/>
              </w:rPr>
            </w:pPr>
          </w:p>
        </w:tc>
        <w:tc>
          <w:tcPr>
            <w:tcW w:w="1936" w:type="dxa"/>
            <w:noWrap w:val="0"/>
            <w:vAlign w:val="center"/>
          </w:tcPr>
          <w:p>
            <w:pPr>
              <w:ind w:firstLine="240" w:firstLineChars="100"/>
              <w:jc w:val="left"/>
              <w:rPr>
                <w:rFonts w:hint="eastAsia" w:ascii="宋体" w:hAnsi="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val="en-US" w:eastAsia="zh-CN" w:bidi="ar"/>
              </w:rPr>
              <w:t>企业资质</w:t>
            </w:r>
          </w:p>
          <w:p>
            <w:pPr>
              <w:ind w:firstLine="240" w:firstLineChars="100"/>
              <w:jc w:val="left"/>
              <w:rPr>
                <w:rFonts w:hint="default"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val="en-US" w:eastAsia="zh-CN" w:bidi="ar"/>
              </w:rPr>
              <w:t>（0-5）</w:t>
            </w:r>
          </w:p>
        </w:tc>
        <w:tc>
          <w:tcPr>
            <w:tcW w:w="4818" w:type="dxa"/>
            <w:noWrap w:val="0"/>
            <w:vAlign w:val="center"/>
          </w:tcPr>
          <w:p>
            <w:pPr>
              <w:jc w:val="left"/>
              <w:rPr>
                <w:rFonts w:hint="default" w:eastAsia="宋体"/>
                <w:sz w:val="24"/>
                <w:szCs w:val="24"/>
                <w:lang w:val="en-US" w:eastAsia="zh-CN"/>
              </w:rPr>
            </w:pPr>
            <w:r>
              <w:rPr>
                <w:rFonts w:hint="eastAsia"/>
                <w:sz w:val="24"/>
                <w:szCs w:val="24"/>
              </w:rPr>
              <w:t>投标人具有有效的CNAS</w:t>
            </w:r>
            <w:r>
              <w:rPr>
                <w:rFonts w:hint="eastAsia"/>
                <w:sz w:val="24"/>
                <w:szCs w:val="24"/>
                <w:lang w:val="en-US" w:eastAsia="zh-CN"/>
              </w:rPr>
              <w:t>证书得2.5分，</w:t>
            </w:r>
          </w:p>
          <w:p>
            <w:pPr>
              <w:jc w:val="left"/>
              <w:rPr>
                <w:rFonts w:hint="eastAsia"/>
                <w:sz w:val="24"/>
                <w:szCs w:val="24"/>
                <w:lang w:val="en-US" w:eastAsia="zh-CN"/>
              </w:rPr>
            </w:pPr>
            <w:r>
              <w:rPr>
                <w:rFonts w:hint="eastAsia"/>
                <w:sz w:val="24"/>
                <w:szCs w:val="24"/>
                <w:lang w:val="en-US" w:eastAsia="zh-CN"/>
              </w:rPr>
              <w:t>具有有效的</w:t>
            </w:r>
            <w:r>
              <w:rPr>
                <w:rFonts w:hint="eastAsia"/>
                <w:sz w:val="24"/>
                <w:szCs w:val="24"/>
              </w:rPr>
              <w:t>CMA</w:t>
            </w:r>
            <w:r>
              <w:rPr>
                <w:rFonts w:hint="eastAsia"/>
                <w:sz w:val="24"/>
                <w:szCs w:val="24"/>
                <w:lang w:val="en-US" w:eastAsia="zh-CN"/>
              </w:rPr>
              <w:t>证书得2.5分。</w:t>
            </w:r>
          </w:p>
          <w:p>
            <w:pPr>
              <w:jc w:val="left"/>
              <w:rPr>
                <w:rFonts w:hint="eastAsia"/>
                <w:sz w:val="24"/>
                <w:szCs w:val="24"/>
                <w:lang w:val="en-US" w:eastAsia="zh-CN"/>
              </w:rPr>
            </w:pPr>
            <w:r>
              <w:rPr>
                <w:rFonts w:hint="eastAsia"/>
                <w:sz w:val="24"/>
                <w:szCs w:val="24"/>
                <w:lang w:val="en-US" w:eastAsia="zh-CN"/>
              </w:rPr>
              <w:t>本项满分5分，不提供不得分。</w:t>
            </w:r>
          </w:p>
          <w:p>
            <w:pPr>
              <w:jc w:val="left"/>
              <w:rPr>
                <w:rFonts w:hint="default"/>
                <w:sz w:val="24"/>
                <w:szCs w:val="24"/>
                <w:lang w:val="en-US"/>
              </w:rPr>
            </w:pPr>
            <w:r>
              <w:rPr>
                <w:rFonts w:hint="eastAsia"/>
                <w:sz w:val="24"/>
                <w:szCs w:val="24"/>
                <w:lang w:val="en-US" w:eastAsia="zh-CN"/>
              </w:rPr>
              <w:t>提供证书扫描件加盖公章。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67" w:type="dxa"/>
            <w:noWrap w:val="0"/>
            <w:vAlign w:val="center"/>
          </w:tcPr>
          <w:p>
            <w:pPr>
              <w:jc w:val="center"/>
              <w:rPr>
                <w:rFonts w:hint="eastAsia" w:eastAsiaTheme="minorEastAsia"/>
                <w:sz w:val="24"/>
                <w:szCs w:val="24"/>
                <w:lang w:eastAsia="zh-CN"/>
              </w:rPr>
            </w:pPr>
            <w:r>
              <w:rPr>
                <w:rFonts w:hint="eastAsia"/>
                <w:sz w:val="24"/>
                <w:szCs w:val="24"/>
                <w:lang w:val="en-US" w:eastAsia="zh-CN"/>
              </w:rPr>
              <w:t>2</w:t>
            </w:r>
          </w:p>
        </w:tc>
        <w:tc>
          <w:tcPr>
            <w:tcW w:w="1542" w:type="dxa"/>
            <w:noWrap w:val="0"/>
            <w:vAlign w:val="center"/>
          </w:tcPr>
          <w:p>
            <w:pPr>
              <w:jc w:val="center"/>
              <w:rPr>
                <w:rFonts w:hint="eastAsia"/>
                <w:sz w:val="24"/>
                <w:szCs w:val="24"/>
              </w:rPr>
            </w:pPr>
            <w:r>
              <w:rPr>
                <w:rFonts w:hint="eastAsia"/>
                <w:sz w:val="24"/>
                <w:szCs w:val="24"/>
                <w:lang w:val="en-US" w:eastAsia="zh-CN"/>
              </w:rPr>
              <w:t>服务</w:t>
            </w:r>
            <w:r>
              <w:rPr>
                <w:rFonts w:hint="eastAsia"/>
                <w:sz w:val="24"/>
                <w:szCs w:val="24"/>
              </w:rPr>
              <w:t>方案</w:t>
            </w:r>
          </w:p>
          <w:p>
            <w:pPr>
              <w:jc w:val="center"/>
              <w:rPr>
                <w:rFonts w:hint="default"/>
                <w:sz w:val="24"/>
                <w:szCs w:val="24"/>
                <w:lang w:val="en-US"/>
              </w:rPr>
            </w:pPr>
            <w:r>
              <w:rPr>
                <w:rFonts w:hint="eastAsia"/>
                <w:sz w:val="24"/>
                <w:szCs w:val="24"/>
              </w:rPr>
              <w:t>（</w:t>
            </w:r>
            <w:r>
              <w:rPr>
                <w:rFonts w:hint="eastAsia"/>
                <w:sz w:val="24"/>
                <w:szCs w:val="24"/>
                <w:lang w:val="en-US" w:eastAsia="zh-CN"/>
              </w:rPr>
              <w:t>20分)</w:t>
            </w:r>
          </w:p>
          <w:p>
            <w:pPr>
              <w:jc w:val="center"/>
              <w:rPr>
                <w:rFonts w:hint="eastAsia"/>
                <w:sz w:val="24"/>
                <w:szCs w:val="24"/>
              </w:rPr>
            </w:pPr>
            <w:r>
              <w:rPr>
                <w:rFonts w:hint="eastAsia"/>
                <w:sz w:val="24"/>
                <w:szCs w:val="24"/>
              </w:rPr>
              <w:t xml:space="preserve"> </w:t>
            </w:r>
          </w:p>
        </w:tc>
        <w:tc>
          <w:tcPr>
            <w:tcW w:w="1936" w:type="dxa"/>
            <w:noWrap w:val="0"/>
            <w:vAlign w:val="center"/>
          </w:tcPr>
          <w:p>
            <w:pPr>
              <w:ind w:firstLine="240" w:firstLineChars="100"/>
              <w:rPr>
                <w:rFonts w:hint="eastAsia"/>
                <w:sz w:val="24"/>
                <w:szCs w:val="24"/>
              </w:rPr>
            </w:pPr>
            <w:r>
              <w:rPr>
                <w:rFonts w:hint="eastAsia"/>
                <w:sz w:val="24"/>
                <w:szCs w:val="24"/>
                <w:lang w:val="en-US" w:eastAsia="zh-CN"/>
              </w:rPr>
              <w:t>服务</w:t>
            </w:r>
            <w:r>
              <w:rPr>
                <w:rFonts w:hint="eastAsia"/>
                <w:sz w:val="24"/>
                <w:szCs w:val="24"/>
              </w:rPr>
              <w:t>方案</w:t>
            </w:r>
          </w:p>
          <w:p>
            <w:pPr>
              <w:ind w:firstLine="240" w:firstLineChars="100"/>
              <w:rPr>
                <w:rFonts w:hint="eastAsia" w:ascii="宋体" w:hAnsi="宋体" w:cs="宋体"/>
                <w:sz w:val="24"/>
                <w:szCs w:val="24"/>
              </w:rPr>
            </w:pPr>
            <w:r>
              <w:rPr>
                <w:rFonts w:hint="eastAsia"/>
                <w:sz w:val="24"/>
                <w:szCs w:val="24"/>
              </w:rPr>
              <w:t>（</w:t>
            </w:r>
            <w:r>
              <w:rPr>
                <w:rFonts w:hint="eastAsia"/>
                <w:sz w:val="24"/>
                <w:szCs w:val="24"/>
                <w:lang w:val="en-US" w:eastAsia="zh-CN"/>
              </w:rPr>
              <w:t>0-20</w:t>
            </w:r>
            <w:r>
              <w:rPr>
                <w:rFonts w:hint="eastAsia"/>
                <w:sz w:val="24"/>
                <w:szCs w:val="24"/>
              </w:rPr>
              <w:t>分）</w:t>
            </w:r>
          </w:p>
        </w:tc>
        <w:tc>
          <w:tcPr>
            <w:tcW w:w="4818" w:type="dxa"/>
            <w:noWrap w:val="0"/>
            <w:vAlign w:val="center"/>
          </w:tcPr>
          <w:p>
            <w:pPr>
              <w:jc w:val="left"/>
              <w:rPr>
                <w:sz w:val="24"/>
                <w:szCs w:val="24"/>
              </w:rPr>
            </w:pPr>
            <w:r>
              <w:rPr>
                <w:rFonts w:hint="eastAsia" w:ascii="宋体" w:hAnsi="宋体" w:eastAsia="宋体" w:cs="宋体"/>
                <w:color w:val="000000"/>
                <w:kern w:val="0"/>
                <w:sz w:val="24"/>
                <w:szCs w:val="24"/>
                <w:highlight w:val="none"/>
                <w:lang w:val="en-US" w:eastAsia="zh-CN" w:bidi="ar"/>
              </w:rPr>
              <w:t>由评标委员会对投标人针对本项目提供的服务方案进行评审，对内容的全面性、人员分工是否明确以及责任划定，服务质量保证措施、质量控制措施等方面进行综合评价：方案全面深入，详尽准确，思路科学合理的，得</w:t>
            </w:r>
            <w:r>
              <w:rPr>
                <w:rFonts w:hint="eastAsia" w:ascii="宋体" w:hAnsi="宋体" w:cs="宋体"/>
                <w:color w:val="000000"/>
                <w:kern w:val="0"/>
                <w:sz w:val="24"/>
                <w:szCs w:val="24"/>
                <w:highlight w:val="none"/>
                <w:lang w:val="en-US" w:eastAsia="zh-CN" w:bidi="ar"/>
              </w:rPr>
              <w:t>15-20</w:t>
            </w:r>
            <w:r>
              <w:rPr>
                <w:rFonts w:hint="eastAsia" w:ascii="宋体" w:hAnsi="宋体" w:eastAsia="宋体" w:cs="宋体"/>
                <w:color w:val="000000"/>
                <w:kern w:val="0"/>
                <w:sz w:val="24"/>
                <w:szCs w:val="24"/>
                <w:highlight w:val="none"/>
                <w:lang w:val="en-US" w:eastAsia="zh-CN" w:bidi="ar"/>
              </w:rPr>
              <w:t xml:space="preserve">分； 方案较贴切，符合实际，具有实用性的，得 </w:t>
            </w:r>
            <w:r>
              <w:rPr>
                <w:rFonts w:hint="eastAsia" w:ascii="宋体" w:hAnsi="宋体" w:cs="宋体"/>
                <w:color w:val="000000"/>
                <w:kern w:val="0"/>
                <w:sz w:val="24"/>
                <w:szCs w:val="24"/>
                <w:highlight w:val="none"/>
                <w:lang w:val="en-US" w:eastAsia="zh-CN" w:bidi="ar"/>
              </w:rPr>
              <w:t>14-8</w:t>
            </w:r>
            <w:r>
              <w:rPr>
                <w:rFonts w:hint="eastAsia" w:ascii="宋体" w:hAnsi="宋体" w:eastAsia="宋体" w:cs="宋体"/>
                <w:color w:val="000000"/>
                <w:kern w:val="0"/>
                <w:sz w:val="24"/>
                <w:szCs w:val="24"/>
                <w:highlight w:val="none"/>
                <w:lang w:val="en-US" w:eastAsia="zh-CN" w:bidi="ar"/>
              </w:rPr>
              <w:t xml:space="preserve">分；方案基本符合要求的，得 </w:t>
            </w:r>
            <w:r>
              <w:rPr>
                <w:rFonts w:hint="eastAsia" w:ascii="宋体" w:hAnsi="宋体" w:cs="宋体"/>
                <w:color w:val="000000"/>
                <w:kern w:val="0"/>
                <w:sz w:val="24"/>
                <w:szCs w:val="24"/>
                <w:highlight w:val="none"/>
                <w:lang w:val="en-US" w:eastAsia="zh-CN" w:bidi="ar"/>
              </w:rPr>
              <w:t>7-1</w:t>
            </w:r>
            <w:r>
              <w:rPr>
                <w:rFonts w:hint="eastAsia" w:ascii="宋体" w:hAnsi="宋体" w:eastAsia="宋体" w:cs="宋体"/>
                <w:color w:val="000000"/>
                <w:kern w:val="0"/>
                <w:sz w:val="24"/>
                <w:szCs w:val="24"/>
                <w:highlight w:val="none"/>
                <w:lang w:val="en-US" w:eastAsia="zh-CN" w:bidi="ar"/>
              </w:rPr>
              <w:t>分。未提供服务方案不得分</w:t>
            </w:r>
            <w:r>
              <w:rPr>
                <w:rFonts w:hint="eastAsia" w:ascii="宋体" w:hAnsi="宋体" w:cs="宋体"/>
                <w:color w:val="000000"/>
                <w:kern w:val="0"/>
                <w:sz w:val="24"/>
                <w:szCs w:val="24"/>
                <w:highlight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6" w:hRule="atLeast"/>
          <w:jc w:val="center"/>
        </w:trPr>
        <w:tc>
          <w:tcPr>
            <w:tcW w:w="867" w:type="dxa"/>
            <w:noWrap w:val="0"/>
            <w:vAlign w:val="center"/>
          </w:tcPr>
          <w:p>
            <w:pPr>
              <w:jc w:val="both"/>
              <w:rPr>
                <w:rFonts w:hint="default" w:eastAsia="宋体"/>
                <w:sz w:val="24"/>
                <w:szCs w:val="24"/>
                <w:lang w:val="en-US" w:eastAsia="zh-CN"/>
              </w:rPr>
            </w:pPr>
            <w:r>
              <w:rPr>
                <w:rFonts w:hint="eastAsia"/>
                <w:sz w:val="24"/>
                <w:szCs w:val="24"/>
                <w:lang w:val="en-US" w:eastAsia="zh-CN"/>
              </w:rPr>
              <w:t>3</w:t>
            </w:r>
          </w:p>
        </w:tc>
        <w:tc>
          <w:tcPr>
            <w:tcW w:w="1542" w:type="dxa"/>
            <w:noWrap w:val="0"/>
            <w:vAlign w:val="center"/>
          </w:tcPr>
          <w:p>
            <w:pPr>
              <w:jc w:val="center"/>
              <w:rPr>
                <w:rFonts w:hint="eastAsia"/>
                <w:color w:val="auto"/>
                <w:sz w:val="24"/>
                <w:szCs w:val="24"/>
                <w:highlight w:val="none"/>
                <w:lang w:val="en-US" w:eastAsia="zh-CN"/>
              </w:rPr>
            </w:pPr>
            <w:r>
              <w:rPr>
                <w:rFonts w:hint="eastAsia"/>
                <w:color w:val="auto"/>
                <w:sz w:val="24"/>
                <w:szCs w:val="24"/>
                <w:highlight w:val="none"/>
                <w:lang w:val="en-US" w:eastAsia="zh-CN"/>
              </w:rPr>
              <w:t>检测能力</w:t>
            </w:r>
          </w:p>
          <w:p>
            <w:pPr>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（0-30分）</w:t>
            </w:r>
          </w:p>
        </w:tc>
        <w:tc>
          <w:tcPr>
            <w:tcW w:w="6754" w:type="dxa"/>
            <w:gridSpan w:val="2"/>
            <w:noWrap w:val="0"/>
            <w:vAlign w:val="center"/>
          </w:tcPr>
          <w:p>
            <w:pPr>
              <w:jc w:val="left"/>
              <w:rPr>
                <w:rFonts w:hint="default"/>
                <w:color w:val="auto"/>
                <w:sz w:val="24"/>
                <w:szCs w:val="24"/>
                <w:lang w:val="en-US"/>
              </w:rPr>
            </w:pPr>
            <w:r>
              <w:rPr>
                <w:rFonts w:hint="default"/>
                <w:color w:val="auto"/>
                <w:sz w:val="24"/>
                <w:szCs w:val="24"/>
                <w:lang w:val="en-US"/>
              </w:rPr>
              <w:t>投标人提供如下设备的检测报告；（1）每提供1项得2分，（2）-（7）每提供1项得1分，不提供不得分，满分30分</w:t>
            </w:r>
          </w:p>
          <w:p>
            <w:pPr>
              <w:jc w:val="left"/>
              <w:rPr>
                <w:rFonts w:hint="default"/>
                <w:color w:val="auto"/>
                <w:sz w:val="24"/>
                <w:szCs w:val="24"/>
                <w:lang w:val="en-US"/>
              </w:rPr>
            </w:pPr>
            <w:r>
              <w:rPr>
                <w:rFonts w:hint="default"/>
                <w:color w:val="auto"/>
                <w:sz w:val="24"/>
                <w:szCs w:val="24"/>
                <w:lang w:val="en-US"/>
              </w:rPr>
              <w:t>（1）大型医疗设备：CT、MR、DSA等；</w:t>
            </w:r>
          </w:p>
          <w:p>
            <w:pPr>
              <w:jc w:val="left"/>
              <w:rPr>
                <w:rFonts w:hint="default"/>
                <w:color w:val="auto"/>
                <w:sz w:val="24"/>
                <w:szCs w:val="24"/>
                <w:lang w:val="en-US"/>
              </w:rPr>
            </w:pPr>
            <w:r>
              <w:rPr>
                <w:rFonts w:hint="default"/>
                <w:color w:val="auto"/>
                <w:sz w:val="24"/>
                <w:szCs w:val="24"/>
                <w:lang w:val="en-US"/>
              </w:rPr>
              <w:t>（2）影像类设备：DR、超声成像设备、CBCT、数字胃肠机、C臂机、骨密度仪等；</w:t>
            </w:r>
          </w:p>
          <w:p>
            <w:pPr>
              <w:jc w:val="left"/>
              <w:rPr>
                <w:rFonts w:hint="default"/>
                <w:color w:val="auto"/>
                <w:sz w:val="24"/>
                <w:szCs w:val="24"/>
                <w:lang w:val="en-US"/>
              </w:rPr>
            </w:pPr>
            <w:r>
              <w:rPr>
                <w:rFonts w:hint="default"/>
                <w:color w:val="auto"/>
                <w:sz w:val="24"/>
                <w:szCs w:val="24"/>
                <w:lang w:val="en-US"/>
              </w:rPr>
              <w:t>（3）功能检查设备：心电图机、脑电图机、肌电图机、多导生理记录仪、呼吸功能测定仪等；</w:t>
            </w:r>
          </w:p>
          <w:p>
            <w:pPr>
              <w:jc w:val="left"/>
              <w:rPr>
                <w:rFonts w:hint="default"/>
                <w:color w:val="auto"/>
                <w:sz w:val="24"/>
                <w:szCs w:val="24"/>
                <w:lang w:val="en-US"/>
              </w:rPr>
            </w:pPr>
            <w:r>
              <w:rPr>
                <w:rFonts w:hint="default"/>
                <w:color w:val="auto"/>
                <w:sz w:val="24"/>
                <w:szCs w:val="24"/>
                <w:lang w:val="en-US"/>
              </w:rPr>
              <w:t>（4）内窥镜检查设备：软式内窥镜类、硬式内窥镜类等；</w:t>
            </w:r>
          </w:p>
          <w:p>
            <w:pPr>
              <w:jc w:val="left"/>
              <w:rPr>
                <w:rFonts w:hint="default"/>
                <w:color w:val="auto"/>
                <w:sz w:val="24"/>
                <w:szCs w:val="24"/>
                <w:lang w:val="en-US"/>
              </w:rPr>
            </w:pPr>
            <w:r>
              <w:rPr>
                <w:rFonts w:hint="default"/>
                <w:color w:val="auto"/>
                <w:sz w:val="24"/>
                <w:szCs w:val="24"/>
                <w:lang w:val="en-US"/>
              </w:rPr>
              <w:t>（5）手术、急救生命支持类设备：灯床塔设备、除颤仪, 呼吸机、麻醉工作站、监护仪、输注泵、婴儿暖箱、高频电刀等；</w:t>
            </w:r>
          </w:p>
          <w:p>
            <w:pPr>
              <w:jc w:val="left"/>
              <w:rPr>
                <w:rFonts w:hint="default"/>
                <w:color w:val="auto"/>
                <w:sz w:val="24"/>
                <w:szCs w:val="24"/>
                <w:lang w:val="en-US"/>
              </w:rPr>
            </w:pPr>
            <w:r>
              <w:rPr>
                <w:rFonts w:hint="default"/>
                <w:color w:val="auto"/>
                <w:sz w:val="24"/>
                <w:szCs w:val="24"/>
                <w:lang w:val="en-US"/>
              </w:rPr>
              <w:t>（6）医用激光治疗设备：激光手术设备；</w:t>
            </w:r>
          </w:p>
          <w:p>
            <w:pPr>
              <w:jc w:val="left"/>
              <w:rPr>
                <w:rFonts w:hint="default"/>
                <w:color w:val="auto"/>
                <w:sz w:val="24"/>
                <w:szCs w:val="24"/>
                <w:lang w:val="en-US"/>
              </w:rPr>
            </w:pPr>
            <w:r>
              <w:rPr>
                <w:rFonts w:hint="default"/>
                <w:color w:val="auto"/>
                <w:sz w:val="24"/>
                <w:szCs w:val="24"/>
                <w:lang w:val="en-US"/>
              </w:rPr>
              <w:t>（7）其它设备：康复理疗类、水处理设备等；</w:t>
            </w:r>
          </w:p>
          <w:p>
            <w:pPr>
              <w:jc w:val="left"/>
              <w:rPr>
                <w:rFonts w:hint="default"/>
                <w:color w:val="auto"/>
                <w:sz w:val="24"/>
                <w:szCs w:val="24"/>
                <w:lang w:val="en-US"/>
              </w:rPr>
            </w:pPr>
            <w:r>
              <w:rPr>
                <w:rFonts w:hint="default"/>
                <w:color w:val="auto"/>
                <w:sz w:val="24"/>
                <w:szCs w:val="24"/>
                <w:lang w:val="en-US"/>
              </w:rPr>
              <w:t>备注：如只提供CT的检测报告得2分，同时提供CT、MR、DSA的检测报告得6分。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4" w:hRule="atLeast"/>
          <w:jc w:val="center"/>
        </w:trPr>
        <w:tc>
          <w:tcPr>
            <w:tcW w:w="867" w:type="dxa"/>
            <w:noWrap w:val="0"/>
            <w:vAlign w:val="center"/>
          </w:tcPr>
          <w:p>
            <w:pPr>
              <w:jc w:val="center"/>
              <w:rPr>
                <w:rFonts w:hint="eastAsia" w:eastAsiaTheme="minorEastAsia"/>
                <w:sz w:val="24"/>
                <w:szCs w:val="24"/>
                <w:lang w:eastAsia="zh-CN"/>
              </w:rPr>
            </w:pPr>
            <w:r>
              <w:rPr>
                <w:rFonts w:hint="eastAsia"/>
                <w:sz w:val="24"/>
                <w:szCs w:val="24"/>
                <w:lang w:val="en-US" w:eastAsia="zh-CN"/>
              </w:rPr>
              <w:t>4</w:t>
            </w:r>
          </w:p>
        </w:tc>
        <w:tc>
          <w:tcPr>
            <w:tcW w:w="1542" w:type="dxa"/>
            <w:noWrap w:val="0"/>
            <w:vAlign w:val="center"/>
          </w:tcPr>
          <w:p>
            <w:pPr>
              <w:jc w:val="center"/>
              <w:rPr>
                <w:rFonts w:hint="eastAsia"/>
                <w:sz w:val="24"/>
                <w:szCs w:val="24"/>
              </w:rPr>
            </w:pPr>
            <w:r>
              <w:rPr>
                <w:rFonts w:hint="eastAsia"/>
                <w:sz w:val="24"/>
                <w:szCs w:val="24"/>
              </w:rPr>
              <w:t>投标报价</w:t>
            </w:r>
          </w:p>
          <w:p>
            <w:pPr>
              <w:jc w:val="center"/>
              <w:rPr>
                <w:sz w:val="24"/>
                <w:szCs w:val="24"/>
              </w:rPr>
            </w:pPr>
            <w:r>
              <w:rPr>
                <w:rFonts w:hint="eastAsia"/>
                <w:sz w:val="24"/>
                <w:szCs w:val="24"/>
                <w:highlight w:val="none"/>
              </w:rPr>
              <w:t>（</w:t>
            </w:r>
            <w:r>
              <w:rPr>
                <w:rFonts w:hint="eastAsia"/>
                <w:sz w:val="24"/>
                <w:szCs w:val="24"/>
                <w:highlight w:val="none"/>
                <w:lang w:val="en-US" w:eastAsia="zh-CN"/>
              </w:rPr>
              <w:t>30</w:t>
            </w:r>
            <w:r>
              <w:rPr>
                <w:rFonts w:hint="eastAsia"/>
                <w:sz w:val="24"/>
                <w:szCs w:val="24"/>
                <w:highlight w:val="none"/>
              </w:rPr>
              <w:t>分</w:t>
            </w:r>
            <w:r>
              <w:rPr>
                <w:rFonts w:hint="eastAsia"/>
                <w:sz w:val="24"/>
                <w:szCs w:val="24"/>
              </w:rPr>
              <w:t>）</w:t>
            </w:r>
          </w:p>
        </w:tc>
        <w:tc>
          <w:tcPr>
            <w:tcW w:w="6754" w:type="dxa"/>
            <w:gridSpan w:val="2"/>
            <w:noWrap w:val="0"/>
            <w:vAlign w:val="center"/>
          </w:tcPr>
          <w:p>
            <w:pPr>
              <w:jc w:val="left"/>
              <w:rPr>
                <w:rFonts w:hint="eastAsia"/>
                <w:sz w:val="24"/>
                <w:szCs w:val="24"/>
              </w:rPr>
            </w:pPr>
            <w:r>
              <w:rPr>
                <w:rFonts w:hint="eastAsia"/>
                <w:sz w:val="24"/>
                <w:szCs w:val="24"/>
              </w:rPr>
              <w:t>价格分应当采用低价优先法计算，即满足采购文件要求且投标价格最低的投标报价为评标基准价，其价格分为满分。其他供应商的价格分统一按照下列公式计算：</w:t>
            </w:r>
          </w:p>
          <w:p>
            <w:pPr>
              <w:jc w:val="left"/>
              <w:rPr>
                <w:rFonts w:hint="eastAsia"/>
                <w:sz w:val="24"/>
                <w:szCs w:val="24"/>
              </w:rPr>
            </w:pPr>
            <w:r>
              <w:rPr>
                <w:rFonts w:hint="eastAsia"/>
                <w:sz w:val="24"/>
                <w:szCs w:val="24"/>
              </w:rPr>
              <w:t xml:space="preserve"> 报价得分=(评标基准价／投标报价)×100×</w:t>
            </w:r>
            <w:r>
              <w:rPr>
                <w:rFonts w:hint="eastAsia"/>
                <w:sz w:val="24"/>
                <w:szCs w:val="24"/>
                <w:lang w:val="en-US" w:eastAsia="zh-CN"/>
              </w:rPr>
              <w:t>30</w:t>
            </w:r>
            <w:r>
              <w:rPr>
                <w:rFonts w:hint="eastAsia"/>
                <w:sz w:val="24"/>
                <w:szCs w:val="24"/>
              </w:rPr>
              <w:t>%</w:t>
            </w:r>
          </w:p>
          <w:p>
            <w:pPr>
              <w:jc w:val="left"/>
              <w:rPr>
                <w:rFonts w:hint="eastAsia"/>
                <w:sz w:val="24"/>
                <w:szCs w:val="24"/>
              </w:rPr>
            </w:pPr>
            <w:r>
              <w:rPr>
                <w:rFonts w:hint="eastAsia"/>
                <w:sz w:val="24"/>
                <w:szCs w:val="24"/>
              </w:rPr>
              <w:t>评审过程中，不得去掉报价中的最高报价和最低报价。</w:t>
            </w:r>
          </w:p>
          <w:p>
            <w:pPr>
              <w:jc w:val="left"/>
              <w:rPr>
                <w:sz w:val="24"/>
                <w:szCs w:val="24"/>
              </w:rPr>
            </w:pPr>
            <w:r>
              <w:rPr>
                <w:rFonts w:hint="eastAsia"/>
                <w:sz w:val="24"/>
                <w:szCs w:val="24"/>
              </w:rPr>
              <w:t>计算结果保留小数点后两位，小数点后第三位“四舍五入”</w:t>
            </w:r>
          </w:p>
        </w:tc>
      </w:tr>
    </w:tbl>
    <w:p>
      <w:pPr>
        <w:rPr>
          <w:rFonts w:hint="eastAsia" w:ascii="新宋体" w:hAnsi="新宋体" w:eastAsia="新宋体" w:cs="方正小标宋简体"/>
          <w:b/>
          <w:sz w:val="24"/>
          <w:szCs w:val="24"/>
          <w:highlight w:val="none"/>
        </w:rPr>
      </w:pPr>
      <w:r>
        <w:rPr>
          <w:rFonts w:hint="eastAsia" w:ascii="新宋体" w:hAnsi="新宋体" w:eastAsia="新宋体" w:cs="方正小标宋简体"/>
          <w:b/>
          <w:sz w:val="24"/>
          <w:szCs w:val="24"/>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蚌埠市第一人民医院委托第三方检测及验收服务采购项目采购意向及需求公示的反馈意见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针对蚌埠市第一人民医院委托第三方检测及验收服务采购项目,采购意向及需求公示，我单位反馈意见如下：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3"/>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B181EC"/>
    <w:multiLevelType w:val="singleLevel"/>
    <w:tmpl w:val="1CB181EC"/>
    <w:lvl w:ilvl="0" w:tentative="0">
      <w:start w:val="1"/>
      <w:numFmt w:val="decimal"/>
      <w:suff w:val="nothing"/>
      <w:lvlText w:val="%1、"/>
      <w:lvlJc w:val="left"/>
    </w:lvl>
  </w:abstractNum>
  <w:abstractNum w:abstractNumId="1">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8E3B02"/>
    <w:rsid w:val="02F95C17"/>
    <w:rsid w:val="03F618F7"/>
    <w:rsid w:val="05BB0E6A"/>
    <w:rsid w:val="07884358"/>
    <w:rsid w:val="088157DD"/>
    <w:rsid w:val="0EA531C5"/>
    <w:rsid w:val="102871DA"/>
    <w:rsid w:val="109B4C39"/>
    <w:rsid w:val="13CC35BB"/>
    <w:rsid w:val="19E1315F"/>
    <w:rsid w:val="1A4F03D7"/>
    <w:rsid w:val="1A5F0800"/>
    <w:rsid w:val="1B096F5F"/>
    <w:rsid w:val="20701E96"/>
    <w:rsid w:val="21580108"/>
    <w:rsid w:val="24AE53EF"/>
    <w:rsid w:val="2D925870"/>
    <w:rsid w:val="3A59465F"/>
    <w:rsid w:val="3D3F4BEA"/>
    <w:rsid w:val="442C0469"/>
    <w:rsid w:val="44C73830"/>
    <w:rsid w:val="45156B9E"/>
    <w:rsid w:val="480656EC"/>
    <w:rsid w:val="48212119"/>
    <w:rsid w:val="4D071309"/>
    <w:rsid w:val="52FB7715"/>
    <w:rsid w:val="558D68E8"/>
    <w:rsid w:val="56DD42FB"/>
    <w:rsid w:val="5C267B9A"/>
    <w:rsid w:val="5C6E4623"/>
    <w:rsid w:val="5D480901"/>
    <w:rsid w:val="5F2B5C40"/>
    <w:rsid w:val="5FF4532C"/>
    <w:rsid w:val="630E2FA0"/>
    <w:rsid w:val="63985972"/>
    <w:rsid w:val="64EA6690"/>
    <w:rsid w:val="67EF7DEE"/>
    <w:rsid w:val="68284C04"/>
    <w:rsid w:val="68ED244F"/>
    <w:rsid w:val="6D663E0B"/>
    <w:rsid w:val="6E5318EA"/>
    <w:rsid w:val="6F915E09"/>
    <w:rsid w:val="6F922F7F"/>
    <w:rsid w:val="703F64BC"/>
    <w:rsid w:val="754828ED"/>
    <w:rsid w:val="754941F9"/>
    <w:rsid w:val="75BD7996"/>
    <w:rsid w:val="76AC78FF"/>
    <w:rsid w:val="795F7F1A"/>
    <w:rsid w:val="7D45028A"/>
    <w:rsid w:val="7F593BF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14044</Words>
  <Characters>15151</Characters>
  <Lines>57</Lines>
  <Paragraphs>16</Paragraphs>
  <TotalTime>5</TotalTime>
  <ScaleCrop>false</ScaleCrop>
  <LinksUpToDate>false</LinksUpToDate>
  <CharactersWithSpaces>15397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2023-08-16T08:12:04Z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8722C9F311B44D40B7E9279C1A83C4B1_13</vt:lpwstr>
  </property>
</Properties>
</file>