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pStyle w:val="4"/>
        <w:jc w:val="center"/>
        <w:rPr>
          <w:rFonts w:hint="eastAsia" w:hAnsi="宋体"/>
          <w:b/>
          <w:bCs/>
          <w:sz w:val="52"/>
          <w:szCs w:val="52"/>
        </w:rPr>
      </w:pPr>
      <w:r>
        <w:rPr>
          <w:rFonts w:hint="eastAsia" w:hAnsi="宋体"/>
          <w:b/>
          <w:bCs/>
          <w:sz w:val="52"/>
          <w:szCs w:val="52"/>
        </w:rPr>
        <w:t>蚌埠市第三人民医院一次性使用留置引流导管及辅助装置采购项目</w:t>
      </w:r>
    </w:p>
    <w:p>
      <w:pPr>
        <w:widowControl/>
        <w:spacing w:line="600" w:lineRule="atLeast"/>
        <w:jc w:val="center"/>
        <w:rPr>
          <w:rFonts w:hint="eastAsia" w:ascii="宋体" w:hAnsi="宋体" w:cs="宋体"/>
          <w:b/>
          <w:bCs/>
          <w:kern w:val="0"/>
          <w:sz w:val="72"/>
          <w:szCs w:val="72"/>
          <w:shd w:val="clear" w:color="auto" w:fill="FFFFFF"/>
        </w:rPr>
      </w:pPr>
    </w:p>
    <w:p>
      <w:pPr>
        <w:pStyle w:val="13"/>
        <w:rPr>
          <w:rFonts w:hint="eastAsia"/>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3"/>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三</w:t>
      </w:r>
      <w:r>
        <w:rPr>
          <w:rFonts w:hint="eastAsia" w:ascii="宋体" w:hAnsi="宋体" w:cs="宋体"/>
          <w:sz w:val="28"/>
          <w:szCs w:val="28"/>
          <w:u w:val="single"/>
        </w:rPr>
        <w:t>人民医院</w:t>
      </w:r>
    </w:p>
    <w:p>
      <w:pPr>
        <w:pStyle w:val="13"/>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8</w:t>
      </w:r>
      <w:r>
        <w:rPr>
          <w:rFonts w:hint="eastAsia" w:ascii="宋体" w:hAnsi="宋体" w:cs="宋体"/>
          <w:sz w:val="28"/>
          <w:szCs w:val="28"/>
          <w:u w:val="single"/>
        </w:rPr>
        <w:t>月</w:t>
      </w:r>
      <w:r>
        <w:rPr>
          <w:rFonts w:hint="eastAsia" w:ascii="宋体" w:hAnsi="宋体" w:cs="宋体"/>
          <w:sz w:val="28"/>
          <w:szCs w:val="28"/>
          <w:u w:val="single"/>
          <w:lang w:val="en-US" w:eastAsia="zh-CN"/>
        </w:rPr>
        <w:t>18</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13"/>
        <w:rPr>
          <w:kern w:val="0"/>
          <w:shd w:val="clear" w:color="auto" w:fill="FFFFFF"/>
        </w:rPr>
      </w:pPr>
    </w:p>
    <w:p/>
    <w:p>
      <w:pPr>
        <w:pStyle w:val="13"/>
        <w:rPr>
          <w:kern w:val="0"/>
          <w:shd w:val="clear" w:color="auto" w:fill="FFFFFF"/>
        </w:rPr>
      </w:pPr>
      <w:bookmarkStart w:id="0" w:name="_GoBack"/>
      <w:bookmarkEnd w:id="0"/>
    </w:p>
    <w:p>
      <w:pPr>
        <w:pStyle w:val="13"/>
        <w:rPr>
          <w:kern w:val="0"/>
          <w:shd w:val="clear" w:color="auto" w:fill="FFFFFF"/>
        </w:rPr>
      </w:pPr>
    </w:p>
    <w:p>
      <w:pPr>
        <w:pStyle w:val="13"/>
        <w:rPr>
          <w:kern w:val="0"/>
          <w:shd w:val="clear" w:color="auto" w:fill="FFFFFF"/>
        </w:rPr>
      </w:pPr>
    </w:p>
    <w:p>
      <w:pPr>
        <w:pStyle w:val="13"/>
        <w:rPr>
          <w:kern w:val="0"/>
          <w:shd w:val="clear" w:color="auto" w:fill="FFFFFF"/>
        </w:rPr>
      </w:pPr>
    </w:p>
    <w:p>
      <w:pPr>
        <w:rPr>
          <w:kern w:val="0"/>
          <w:shd w:val="clear" w:color="auto" w:fill="FFFFFF"/>
        </w:rPr>
      </w:pPr>
    </w:p>
    <w:p>
      <w:pPr>
        <w:pStyle w:val="13"/>
        <w:rPr>
          <w:kern w:val="0"/>
          <w:shd w:val="clear" w:color="auto" w:fill="FFFFFF"/>
        </w:rPr>
      </w:pPr>
    </w:p>
    <w:p>
      <w:pPr>
        <w:widowControl/>
        <w:numPr>
          <w:ilvl w:val="0"/>
          <w:numId w:val="2"/>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项目名称：蚌埠市第三人民医院一次性使用留置引流导管及辅助装置采购项目</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2、采购人：蚌埠市第</w:t>
      </w:r>
      <w:r>
        <w:rPr>
          <w:rFonts w:hint="eastAsia" w:ascii="宋体" w:hAnsi="宋体" w:cs="宋体"/>
          <w:kern w:val="0"/>
          <w:sz w:val="24"/>
          <w:szCs w:val="24"/>
          <w:shd w:val="clear" w:color="auto" w:fill="FFFFFF"/>
          <w:lang w:val="en-US" w:eastAsia="zh-CN"/>
        </w:rPr>
        <w:t>三</w:t>
      </w:r>
      <w:r>
        <w:rPr>
          <w:rFonts w:hint="eastAsia" w:ascii="宋体" w:hAnsi="宋体" w:cs="宋体"/>
          <w:kern w:val="0"/>
          <w:sz w:val="24"/>
          <w:szCs w:val="24"/>
          <w:shd w:val="clear" w:color="auto" w:fill="FFFFFF"/>
        </w:rPr>
        <w:t xml:space="preserve">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ascii="宋体" w:hAnsi="宋体" w:eastAsia="宋体" w:cs="宋体"/>
          <w:kern w:val="0"/>
          <w:sz w:val="24"/>
          <w:szCs w:val="24"/>
          <w:shd w:val="clear" w:color="auto" w:fill="FFFFFF"/>
        </w:rPr>
      </w:pPr>
      <w:r>
        <w:rPr>
          <w:rFonts w:hint="eastAsia" w:ascii="宋体" w:hAnsi="宋体" w:cs="宋体"/>
          <w:kern w:val="0"/>
          <w:sz w:val="24"/>
          <w:szCs w:val="24"/>
          <w:shd w:val="clear" w:color="auto" w:fill="FFFFFF"/>
        </w:rPr>
        <w:t>4、项目编号：ZCGF-BBSY-2023069</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5、项目年度预算：120000元</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6、合同履行期： 3年  </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7、拟采用的评审方法：经评审有效最低价法；</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8、付款方式：</w:t>
      </w:r>
      <w:r>
        <w:rPr>
          <w:rFonts w:hint="eastAsia" w:ascii="宋体" w:hAnsi="宋体" w:cs="宋体"/>
          <w:color w:val="auto"/>
          <w:sz w:val="24"/>
          <w:szCs w:val="24"/>
          <w:lang w:val="zh-CN"/>
        </w:rPr>
        <w:t>每半年结算一次。甲方按实际采购量与乙方办理价款结算，付款前乙方须提供有效发票给甲方。</w:t>
      </w:r>
      <w:r>
        <w:rPr>
          <w:rFonts w:hint="eastAsia" w:ascii="宋体" w:hAnsi="宋体" w:cs="宋体"/>
          <w:color w:val="auto"/>
          <w:kern w:val="0"/>
          <w:sz w:val="24"/>
          <w:szCs w:val="24"/>
          <w:shd w:val="clear" w:color="auto" w:fill="FFFFFF"/>
          <w:lang w:val="en-US" w:eastAsia="zh-CN"/>
        </w:rPr>
        <w:t xml:space="preserve">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9、供货期限：</w:t>
      </w:r>
      <w:r>
        <w:rPr>
          <w:rFonts w:hint="eastAsia" w:ascii="宋体" w:hAnsi="宋体"/>
          <w:color w:val="auto"/>
          <w:sz w:val="24"/>
          <w:szCs w:val="24"/>
        </w:rPr>
        <w:t>接医院通知后，按医院要求时间进行供货；</w:t>
      </w:r>
      <w:r>
        <w:rPr>
          <w:rFonts w:hint="eastAsia" w:ascii="宋体" w:hAnsi="宋体" w:cs="宋体"/>
          <w:color w:val="auto"/>
          <w:kern w:val="0"/>
          <w:sz w:val="24"/>
          <w:szCs w:val="24"/>
          <w:shd w:val="clear" w:color="auto" w:fill="FFFFFF"/>
          <w:lang w:val="en-US" w:eastAsia="zh-CN"/>
        </w:rPr>
        <w:t xml:space="preserve">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10、免费质保期：耗材全生命周期</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11、</w:t>
      </w:r>
      <w:r>
        <w:rPr>
          <w:rFonts w:hint="default" w:ascii="宋体" w:hAnsi="宋体" w:cs="宋体"/>
          <w:color w:val="auto"/>
          <w:kern w:val="0"/>
          <w:sz w:val="24"/>
          <w:szCs w:val="24"/>
          <w:shd w:val="clear" w:color="auto" w:fill="FFFFFF"/>
          <w:lang w:val="en-US" w:eastAsia="zh-CN"/>
        </w:rPr>
        <w:t>供货地点</w:t>
      </w:r>
      <w:r>
        <w:rPr>
          <w:rFonts w:hint="eastAsia" w:ascii="宋体" w:hAnsi="宋体" w:cs="宋体"/>
          <w:color w:val="auto"/>
          <w:kern w:val="0"/>
          <w:sz w:val="24"/>
          <w:szCs w:val="24"/>
          <w:shd w:val="clear" w:color="auto" w:fill="FFFFFF"/>
          <w:lang w:val="en-US" w:eastAsia="zh-CN"/>
        </w:rPr>
        <w:t xml:space="preserve">：采购人指定地点  </w:t>
      </w:r>
    </w:p>
    <w:p>
      <w:pPr>
        <w:autoSpaceDE w:val="0"/>
        <w:autoSpaceDN w:val="0"/>
        <w:adjustRightInd w:val="0"/>
        <w:spacing w:line="360" w:lineRule="auto"/>
        <w:jc w:val="left"/>
        <w:rPr>
          <w:rFonts w:hint="eastAsia" w:ascii="宋体" w:hAnsi="宋体" w:cs="宋体"/>
          <w:sz w:val="24"/>
          <w:szCs w:val="24"/>
        </w:rPr>
      </w:pPr>
      <w:r>
        <w:rPr>
          <w:rFonts w:hint="eastAsia" w:ascii="宋体" w:hAnsi="宋体" w:cs="宋体"/>
          <w:kern w:val="0"/>
          <w:sz w:val="24"/>
          <w:szCs w:val="24"/>
          <w:highlight w:val="none"/>
          <w:shd w:val="clear" w:color="auto" w:fill="FFFFFF"/>
          <w:lang w:val="en-US" w:eastAsia="zh-CN"/>
        </w:rPr>
        <w:t>12</w:t>
      </w:r>
      <w:r>
        <w:rPr>
          <w:rFonts w:hint="eastAsia" w:ascii="宋体" w:hAnsi="宋体" w:cs="宋体"/>
          <w:kern w:val="0"/>
          <w:sz w:val="24"/>
          <w:szCs w:val="24"/>
          <w:highlight w:val="none"/>
          <w:shd w:val="clear" w:color="auto" w:fill="FFFFFF"/>
        </w:rPr>
        <w:t>、</w:t>
      </w:r>
      <w:r>
        <w:rPr>
          <w:rFonts w:hint="eastAsia" w:ascii="宋体" w:hAnsi="宋体" w:cs="宋体"/>
          <w:sz w:val="24"/>
          <w:szCs w:val="24"/>
        </w:rPr>
        <w:t>采购需求：本项目</w:t>
      </w:r>
      <w:r>
        <w:rPr>
          <w:rFonts w:hint="eastAsia" w:ascii="宋体" w:hAnsi="宋体" w:cs="宋体"/>
          <w:sz w:val="24"/>
          <w:szCs w:val="24"/>
          <w:lang w:val="en-US" w:eastAsia="zh-CN"/>
        </w:rPr>
        <w:t>不分包，</w:t>
      </w:r>
      <w:r>
        <w:rPr>
          <w:rFonts w:hint="eastAsia" w:ascii="宋体" w:hAnsi="宋体" w:cs="宋体"/>
          <w:sz w:val="24"/>
          <w:szCs w:val="24"/>
        </w:rPr>
        <w:t>详见下表；</w:t>
      </w:r>
    </w:p>
    <w:tbl>
      <w:tblPr>
        <w:tblStyle w:val="14"/>
        <w:tblW w:w="9007" w:type="dxa"/>
        <w:tblInd w:w="0" w:type="dxa"/>
        <w:tblLayout w:type="autofit"/>
        <w:tblCellMar>
          <w:top w:w="0" w:type="dxa"/>
          <w:left w:w="108" w:type="dxa"/>
          <w:bottom w:w="0" w:type="dxa"/>
          <w:right w:w="108" w:type="dxa"/>
        </w:tblCellMar>
      </w:tblPr>
      <w:tblGrid>
        <w:gridCol w:w="751"/>
        <w:gridCol w:w="2382"/>
        <w:gridCol w:w="1063"/>
        <w:gridCol w:w="805"/>
        <w:gridCol w:w="1083"/>
        <w:gridCol w:w="1412"/>
        <w:gridCol w:w="1511"/>
      </w:tblGrid>
      <w:tr>
        <w:tblPrEx>
          <w:tblCellMar>
            <w:top w:w="0" w:type="dxa"/>
            <w:left w:w="108" w:type="dxa"/>
            <w:bottom w:w="0" w:type="dxa"/>
            <w:right w:w="108" w:type="dxa"/>
          </w:tblCellMar>
        </w:tblPrEx>
        <w:trPr>
          <w:trHeight w:val="540" w:hRule="atLeast"/>
        </w:trPr>
        <w:tc>
          <w:tcPr>
            <w:tcW w:w="751"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序号</w:t>
            </w:r>
          </w:p>
        </w:tc>
        <w:tc>
          <w:tcPr>
            <w:tcW w:w="238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品名</w:t>
            </w:r>
          </w:p>
        </w:tc>
        <w:tc>
          <w:tcPr>
            <w:tcW w:w="1063"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规格</w:t>
            </w:r>
          </w:p>
        </w:tc>
        <w:tc>
          <w:tcPr>
            <w:tcW w:w="805"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单位</w:t>
            </w:r>
          </w:p>
        </w:tc>
        <w:tc>
          <w:tcPr>
            <w:tcW w:w="1083"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限价/元</w:t>
            </w:r>
          </w:p>
        </w:tc>
        <w:tc>
          <w:tcPr>
            <w:tcW w:w="141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年度预计使用量</w:t>
            </w:r>
          </w:p>
        </w:tc>
        <w:tc>
          <w:tcPr>
            <w:tcW w:w="1511"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eastAsia="宋体" w:cs="宋体"/>
                <w:b/>
                <w:bCs/>
                <w:kern w:val="0"/>
                <w:sz w:val="22"/>
              </w:rPr>
            </w:pPr>
            <w:r>
              <w:rPr>
                <w:rFonts w:hint="eastAsia" w:ascii="宋体" w:hAnsi="宋体" w:eastAsia="宋体" w:cs="宋体"/>
                <w:b/>
                <w:bCs/>
                <w:kern w:val="0"/>
                <w:sz w:val="22"/>
              </w:rPr>
              <w:t>年度预计采购金额/元</w:t>
            </w:r>
          </w:p>
        </w:tc>
      </w:tr>
      <w:tr>
        <w:tblPrEx>
          <w:tblCellMar>
            <w:top w:w="0" w:type="dxa"/>
            <w:left w:w="108" w:type="dxa"/>
            <w:bottom w:w="0" w:type="dxa"/>
            <w:right w:w="108" w:type="dxa"/>
          </w:tblCellMar>
        </w:tblPrEx>
        <w:trPr>
          <w:trHeight w:val="915" w:hRule="atLeast"/>
        </w:trPr>
        <w:tc>
          <w:tcPr>
            <w:tcW w:w="751"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eastAsia="宋体" w:cs="宋体"/>
                <w:kern w:val="0"/>
                <w:sz w:val="22"/>
              </w:rPr>
            </w:pPr>
            <w:r>
              <w:rPr>
                <w:rFonts w:hint="eastAsia" w:ascii="宋体" w:hAnsi="宋体" w:eastAsia="宋体" w:cs="宋体"/>
                <w:kern w:val="0"/>
                <w:sz w:val="22"/>
              </w:rPr>
              <w:t>1</w:t>
            </w:r>
          </w:p>
        </w:tc>
        <w:tc>
          <w:tcPr>
            <w:tcW w:w="2382" w:type="dxa"/>
            <w:tcBorders>
              <w:top w:val="nil"/>
              <w:left w:val="nil"/>
              <w:bottom w:val="single" w:color="auto" w:sz="4" w:space="0"/>
              <w:right w:val="single" w:color="auto" w:sz="4" w:space="0"/>
            </w:tcBorders>
            <w:noWrap w:val="0"/>
            <w:vAlign w:val="center"/>
          </w:tcPr>
          <w:p>
            <w:pPr>
              <w:spacing w:line="360" w:lineRule="auto"/>
              <w:rPr>
                <w:rFonts w:hint="eastAsia" w:ascii="宋体" w:hAnsi="宋体" w:cs="宋体" w:eastAsiaTheme="minorEastAsia"/>
                <w:sz w:val="22"/>
                <w:lang w:eastAsia="zh-CN"/>
              </w:rPr>
            </w:pPr>
            <w:r>
              <w:rPr>
                <w:rFonts w:hint="eastAsia" w:ascii="宋体" w:hAnsi="宋体" w:cs="宋体"/>
                <w:sz w:val="22"/>
                <w:lang w:val="en-US" w:eastAsia="zh-CN"/>
              </w:rPr>
              <w:t xml:space="preserve"> 一次性使用留置引流导管及辅助装置</w:t>
            </w:r>
          </w:p>
        </w:tc>
        <w:tc>
          <w:tcPr>
            <w:tcW w:w="106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各规格</w:t>
            </w:r>
          </w:p>
        </w:tc>
        <w:tc>
          <w:tcPr>
            <w:tcW w:w="805"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eastAsia="宋体" w:cs="宋体"/>
                <w:kern w:val="0"/>
                <w:sz w:val="22"/>
                <w:lang w:eastAsia="zh-CN"/>
              </w:rPr>
            </w:pPr>
            <w:r>
              <w:rPr>
                <w:rFonts w:hint="eastAsia" w:ascii="宋体" w:hAnsi="宋体" w:eastAsia="宋体" w:cs="宋体"/>
                <w:kern w:val="0"/>
                <w:sz w:val="24"/>
                <w:szCs w:val="24"/>
                <w:lang w:val="en-US" w:eastAsia="zh-CN"/>
              </w:rPr>
              <w:t>套</w:t>
            </w:r>
          </w:p>
        </w:tc>
        <w:tc>
          <w:tcPr>
            <w:tcW w:w="1083" w:type="dxa"/>
            <w:tcBorders>
              <w:top w:val="nil"/>
              <w:left w:val="nil"/>
              <w:bottom w:val="single" w:color="auto" w:sz="4" w:space="0"/>
              <w:right w:val="single" w:color="auto" w:sz="4" w:space="0"/>
            </w:tcBorders>
            <w:noWrap w:val="0"/>
            <w:vAlign w:val="center"/>
          </w:tcPr>
          <w:p>
            <w:pPr>
              <w:spacing w:line="360" w:lineRule="auto"/>
              <w:jc w:val="center"/>
              <w:rPr>
                <w:rFonts w:hint="eastAsia" w:ascii="宋体" w:hAnsi="宋体" w:cs="宋体" w:eastAsiaTheme="minorEastAsia"/>
                <w:sz w:val="22"/>
                <w:lang w:eastAsia="zh-CN"/>
              </w:rPr>
            </w:pPr>
            <w:r>
              <w:rPr>
                <w:rFonts w:hint="eastAsia"/>
                <w:sz w:val="24"/>
                <w:szCs w:val="28"/>
              </w:rPr>
              <w:t>600元</w:t>
            </w:r>
          </w:p>
        </w:tc>
        <w:tc>
          <w:tcPr>
            <w:tcW w:w="1412" w:type="dxa"/>
            <w:tcBorders>
              <w:top w:val="nil"/>
              <w:left w:val="nil"/>
              <w:bottom w:val="single" w:color="auto" w:sz="4" w:space="0"/>
              <w:right w:val="single" w:color="auto" w:sz="4" w:space="0"/>
            </w:tcBorders>
            <w:noWrap w:val="0"/>
            <w:vAlign w:val="center"/>
          </w:tcPr>
          <w:p>
            <w:pPr>
              <w:spacing w:line="360" w:lineRule="auto"/>
              <w:jc w:val="center"/>
              <w:rPr>
                <w:rFonts w:hint="eastAsia" w:ascii="宋体" w:hAnsi="宋体" w:cs="宋体" w:eastAsiaTheme="minorEastAsia"/>
                <w:sz w:val="22"/>
                <w:lang w:eastAsia="zh-CN"/>
              </w:rPr>
            </w:pPr>
            <w:r>
              <w:rPr>
                <w:rFonts w:hint="eastAsia" w:ascii="宋体" w:hAnsi="宋体" w:cs="宋体"/>
                <w:sz w:val="22"/>
                <w:lang w:val="en-US" w:eastAsia="zh-CN"/>
              </w:rPr>
              <w:t>200个</w:t>
            </w:r>
          </w:p>
        </w:tc>
        <w:tc>
          <w:tcPr>
            <w:tcW w:w="1511" w:type="dxa"/>
            <w:tcBorders>
              <w:top w:val="nil"/>
              <w:left w:val="nil"/>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eastAsiaTheme="minorEastAsia"/>
                <w:sz w:val="22"/>
                <w:lang w:eastAsia="zh-CN"/>
              </w:rPr>
            </w:pPr>
            <w:r>
              <w:rPr>
                <w:rFonts w:hint="eastAsia" w:ascii="宋体" w:hAnsi="宋体" w:eastAsia="宋体" w:cs="宋体"/>
                <w:color w:val="000000"/>
                <w:kern w:val="0"/>
                <w:sz w:val="24"/>
                <w:szCs w:val="24"/>
                <w:lang w:val="en-US" w:eastAsia="zh-CN"/>
              </w:rPr>
              <w:t>120000</w:t>
            </w:r>
          </w:p>
        </w:tc>
      </w:tr>
    </w:tbl>
    <w:p>
      <w:pPr>
        <w:pStyle w:val="11"/>
        <w:widowControl/>
        <w:shd w:val="clear" w:color="auto" w:fill="FFFFFF"/>
        <w:spacing w:beforeAutospacing="0" w:afterAutospacing="0" w:line="360" w:lineRule="auto"/>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lang w:val="en-US" w:eastAsia="zh-CN"/>
        </w:rPr>
        <w:t>13</w:t>
      </w:r>
      <w:r>
        <w:rPr>
          <w:rFonts w:hint="eastAsia" w:ascii="宋体" w:hAnsi="宋体" w:cs="宋体"/>
          <w:szCs w:val="24"/>
          <w:highlight w:val="none"/>
          <w:shd w:val="clear" w:color="auto" w:fill="FFFFFF"/>
        </w:rPr>
        <w:t>、申请人的资格要求：</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1.满足《中华人民共和国政府采购法》第二十二条规定；</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2.落实政府采购政策需满足的资格要求：无</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 xml:space="preserve">3.本项目的特定资格要求： </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3.1供应商须具有有效的营业执照；</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3.2若投产品属于医疗器械，供应商如为代理商须具有有效的医疗器械经营许可证或备案凭证；如所投产品制造商在国内注册成立的，代理商投标时还须提供制造商的有效医疗器械生产许可证或备案凭证；供应商如为制造商须具有有效医疗器械生产许可证或备案凭证和医疗器械经营许可证或备案凭证；</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 xml:space="preserve">3.3若投标人所投产品如为一类医疗器械，须提供有效的医疗器械备案凭证；投标人所投产品如为二类或三类医疗器械，须提供有效的医疗器械注册证； </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3.4所投产品如属于安徽省医药集中采购中心平台范围交易目录的产品须提供流水号及限价，备案目录提供流水号；不属于提供情况说明函。</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3.5投标人须执行《安徽省公立医疗机构医用耗材采购推行“两票制”实施意见》的相关规定及当地相关政策；提供承诺书。</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3.6本项目采用资格后审，不接受联合体投标；</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3.7投标供应商存在以下不良信用记录情形之一的，不得推荐为成交候选供应商，不得确定为成交供应商：</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①供应商被人民法院列入失信被执行人的；</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②供应商或其法定代表人或拟派项目负责人被人民检察院列入行贿犯罪档案的；</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③供应商被工商行政管理部门列入企业经营异常名录的；</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④供应商被税务部门列入重大税收违法案件当事人名单的；</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⑤供应商被政府采购监管部门列入政府采购严重违法失信行为记录名单的。</w:t>
      </w:r>
    </w:p>
    <w:p>
      <w:pPr>
        <w:rPr>
          <w:rFonts w:hint="eastAsia"/>
          <w:sz w:val="44"/>
          <w:szCs w:val="44"/>
          <w:lang w:val="en-US" w:eastAsia="zh-CN"/>
        </w:rPr>
      </w:pPr>
      <w:r>
        <w:rPr>
          <w:rFonts w:hint="eastAsia"/>
          <w:sz w:val="44"/>
          <w:szCs w:val="44"/>
          <w:lang w:val="en-US" w:eastAsia="zh-CN"/>
        </w:rPr>
        <w:br w:type="page"/>
      </w:r>
    </w:p>
    <w:p>
      <w:pPr>
        <w:spacing w:line="120" w:lineRule="auto"/>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蚌埠市第三人民医院一次性使用留置引流导管及辅助装置采购项目采购需求</w:t>
      </w:r>
    </w:p>
    <w:p>
      <w:pPr>
        <w:pStyle w:val="13"/>
        <w:ind w:left="0" w:leftChars="0" w:firstLine="0" w:firstLineChars="0"/>
        <w:rPr>
          <w:rFonts w:hint="eastAsia" w:ascii="仿宋" w:hAnsi="仿宋" w:eastAsia="仿宋" w:cs="仿宋"/>
          <w:b/>
          <w:bCs/>
          <w:sz w:val="32"/>
          <w:szCs w:val="32"/>
        </w:rPr>
      </w:pPr>
      <w:r>
        <w:rPr>
          <w:rFonts w:hint="eastAsia" w:ascii="仿宋" w:hAnsi="仿宋" w:eastAsia="仿宋" w:cs="仿宋"/>
          <w:b/>
          <w:bCs/>
          <w:sz w:val="32"/>
          <w:szCs w:val="32"/>
        </w:rPr>
        <w:t>综合参数</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适用范围：适用于体腔内积液积脓的留置引流。</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结构及组成：由引流导管及配件组成。配件至少含有：自粘敷贴、中单、橡胶医用手套、带线缝合针、无菌塑柄手术刀、脱脂纱布片、洞巾、引流袋、一次性使用负压引流球、配药用注射器。</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引流导管应含猪尾巴型。</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报价：</w:t>
      </w:r>
      <w:r>
        <w:rPr>
          <w:rFonts w:hint="eastAsia" w:ascii="Helvetica Neue" w:hAnsi="Helvetica Neue" w:cs="Helvetica Neue"/>
          <w:color w:val="auto"/>
          <w:kern w:val="0"/>
          <w:sz w:val="24"/>
          <w:szCs w:val="24"/>
        </w:rPr>
        <w:t>各规格统一报价，</w:t>
      </w:r>
      <w:r>
        <w:rPr>
          <w:rFonts w:hint="eastAsia" w:ascii="Helvetica Neue" w:hAnsi="Helvetica Neue" w:cs="Helvetica Neue"/>
          <w:kern w:val="0"/>
          <w:sz w:val="24"/>
          <w:szCs w:val="24"/>
        </w:rPr>
        <w:t>保证同品牌报价不得高于省属医院且不得高于本市同级别医院，差价随时调整。</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提供至少三家三甲医院使用业绩。</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提供最新一批安徽省27位医保收费代码。</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产品应是安徽省医药集中采购平台内产品，满足“两票制”要求。</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合同签署：中标后试用达到要求后签订合同。服务期3年。</w:t>
      </w:r>
    </w:p>
    <w:p>
      <w:pPr>
        <w:rPr>
          <w:rFonts w:hint="eastAsia"/>
        </w:rPr>
      </w:pPr>
      <w:r>
        <w:rPr>
          <w:rFonts w:hint="eastAsia" w:ascii="Helvetica Neue" w:hAnsi="Helvetica Neue" w:cs="Helvetica Neue"/>
          <w:kern w:val="0"/>
          <w:sz w:val="24"/>
          <w:szCs w:val="24"/>
          <w:lang w:val="en-US" w:eastAsia="zh-CN"/>
        </w:rPr>
        <w:t>9、</w:t>
      </w:r>
      <w:r>
        <w:rPr>
          <w:rFonts w:hint="eastAsia" w:ascii="Helvetica Neue" w:hAnsi="Helvetica Neue" w:cs="Helvetica Neue"/>
          <w:kern w:val="0"/>
          <w:sz w:val="24"/>
          <w:szCs w:val="24"/>
        </w:rPr>
        <w:t>费用：本项目价格包含我院SPD供应链配送（配送费2.5%）。</w:t>
      </w:r>
      <w:r>
        <w:rPr>
          <w:rFonts w:hint="eastAsia" w:ascii="Helvetica Neue" w:hAnsi="Helvetica Neue" w:cs="Helvetica Neue"/>
          <w:kern w:val="0"/>
          <w:sz w:val="24"/>
          <w:szCs w:val="24"/>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 蚌埠市第三人民医院一次性使用留置引流导管及辅助装置采购项目采购意向及需求公示的反馈意见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针对蚌埠市第三人民医院一次性使用留置引流导管及辅助装置采购项目,采购意向及需求公示，我单位反馈意见如下：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1"/>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2"/>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432F149B"/>
    <w:multiLevelType w:val="multilevel"/>
    <w:tmpl w:val="432F149B"/>
    <w:lvl w:ilvl="0" w:tentative="0">
      <w:start w:val="1"/>
      <w:numFmt w:val="decimal"/>
      <w:lvlText w:val="%1、"/>
      <w:lvlJc w:val="left"/>
      <w:pPr>
        <w:ind w:left="480" w:hanging="360"/>
      </w:pPr>
      <w:rPr>
        <w:rFonts w:hint="default"/>
      </w:rPr>
    </w:lvl>
    <w:lvl w:ilvl="1" w:tentative="0">
      <w:start w:val="1"/>
      <w:numFmt w:val="lowerLetter"/>
      <w:lvlText w:val="%2)"/>
      <w:lvlJc w:val="left"/>
      <w:pPr>
        <w:ind w:left="960" w:hanging="420"/>
      </w:pPr>
    </w:lvl>
    <w:lvl w:ilvl="2" w:tentative="0">
      <w:start w:val="1"/>
      <w:numFmt w:val="lowerRoman"/>
      <w:lvlText w:val="%3."/>
      <w:lvlJc w:val="right"/>
      <w:pPr>
        <w:ind w:left="1380" w:hanging="420"/>
      </w:pPr>
    </w:lvl>
    <w:lvl w:ilvl="3" w:tentative="0">
      <w:start w:val="1"/>
      <w:numFmt w:val="decimal"/>
      <w:lvlText w:val="%4."/>
      <w:lvlJc w:val="left"/>
      <w:pPr>
        <w:ind w:left="1800" w:hanging="420"/>
      </w:pPr>
    </w:lvl>
    <w:lvl w:ilvl="4" w:tentative="0">
      <w:start w:val="1"/>
      <w:numFmt w:val="lowerLetter"/>
      <w:lvlText w:val="%5)"/>
      <w:lvlJc w:val="left"/>
      <w:pPr>
        <w:ind w:left="2220" w:hanging="420"/>
      </w:pPr>
    </w:lvl>
    <w:lvl w:ilvl="5" w:tentative="0">
      <w:start w:val="1"/>
      <w:numFmt w:val="lowerRoman"/>
      <w:lvlText w:val="%6."/>
      <w:lvlJc w:val="right"/>
      <w:pPr>
        <w:ind w:left="2640" w:hanging="420"/>
      </w:pPr>
    </w:lvl>
    <w:lvl w:ilvl="6" w:tentative="0">
      <w:start w:val="1"/>
      <w:numFmt w:val="decimal"/>
      <w:lvlText w:val="%7."/>
      <w:lvlJc w:val="left"/>
      <w:pPr>
        <w:ind w:left="3060" w:hanging="420"/>
      </w:pPr>
    </w:lvl>
    <w:lvl w:ilvl="7" w:tentative="0">
      <w:start w:val="1"/>
      <w:numFmt w:val="lowerLetter"/>
      <w:lvlText w:val="%8)"/>
      <w:lvlJc w:val="left"/>
      <w:pPr>
        <w:ind w:left="3480" w:hanging="420"/>
      </w:pPr>
    </w:lvl>
    <w:lvl w:ilvl="8" w:tentative="0">
      <w:start w:val="1"/>
      <w:numFmt w:val="lowerRoman"/>
      <w:lvlText w:val="%9."/>
      <w:lvlJc w:val="right"/>
      <w:pPr>
        <w:ind w:left="3900" w:hanging="420"/>
      </w:pPr>
    </w:lvl>
  </w:abstractNum>
  <w:abstractNum w:abstractNumId="2">
    <w:nsid w:val="79A6B715"/>
    <w:multiLevelType w:val="singleLevel"/>
    <w:tmpl w:val="79A6B71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3924EF3"/>
    <w:rsid w:val="03F618F7"/>
    <w:rsid w:val="05BB0E6A"/>
    <w:rsid w:val="07884358"/>
    <w:rsid w:val="088157DD"/>
    <w:rsid w:val="0EA531C5"/>
    <w:rsid w:val="0F7977F4"/>
    <w:rsid w:val="102871DA"/>
    <w:rsid w:val="11BB7849"/>
    <w:rsid w:val="13CC35BB"/>
    <w:rsid w:val="19E1315F"/>
    <w:rsid w:val="1A4F03D7"/>
    <w:rsid w:val="1A5F0800"/>
    <w:rsid w:val="20701E96"/>
    <w:rsid w:val="20CA5CC3"/>
    <w:rsid w:val="21580108"/>
    <w:rsid w:val="24AE53EF"/>
    <w:rsid w:val="2D925870"/>
    <w:rsid w:val="3A59465F"/>
    <w:rsid w:val="3D3F4BEA"/>
    <w:rsid w:val="442C0469"/>
    <w:rsid w:val="44C73830"/>
    <w:rsid w:val="45156B9E"/>
    <w:rsid w:val="480656EC"/>
    <w:rsid w:val="48212119"/>
    <w:rsid w:val="49FF005C"/>
    <w:rsid w:val="4D071309"/>
    <w:rsid w:val="52FB7715"/>
    <w:rsid w:val="557F2179"/>
    <w:rsid w:val="558D68E8"/>
    <w:rsid w:val="56DD42FB"/>
    <w:rsid w:val="5C267B9A"/>
    <w:rsid w:val="5C6E4623"/>
    <w:rsid w:val="5D480901"/>
    <w:rsid w:val="5F2B5C40"/>
    <w:rsid w:val="5FF4532C"/>
    <w:rsid w:val="60360E90"/>
    <w:rsid w:val="630E2FA0"/>
    <w:rsid w:val="63985972"/>
    <w:rsid w:val="64EA6690"/>
    <w:rsid w:val="67EF7DEE"/>
    <w:rsid w:val="68ED244F"/>
    <w:rsid w:val="6D663E0B"/>
    <w:rsid w:val="6E5318EA"/>
    <w:rsid w:val="6F915E09"/>
    <w:rsid w:val="6F922F7F"/>
    <w:rsid w:val="703F64BC"/>
    <w:rsid w:val="70ED1F4E"/>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4"/>
    <w:semiHidden/>
    <w:unhideWhenUsed/>
    <w:qFormat/>
    <w:uiPriority w:val="99"/>
    <w:pPr>
      <w:jc w:val="left"/>
    </w:pPr>
  </w:style>
  <w:style w:type="paragraph" w:styleId="4">
    <w:name w:val="Body Text"/>
    <w:basedOn w:val="1"/>
    <w:qFormat/>
    <w:uiPriority w:val="0"/>
    <w:rPr>
      <w:rFonts w:ascii="宋体" w:hAnsi="Arial"/>
      <w:sz w:val="28"/>
    </w:rPr>
  </w:style>
  <w:style w:type="paragraph" w:styleId="5">
    <w:name w:val="Body Text Indent"/>
    <w:basedOn w:val="1"/>
    <w:next w:val="6"/>
    <w:qFormat/>
    <w:uiPriority w:val="0"/>
    <w:pPr>
      <w:ind w:left="420" w:leftChars="200"/>
    </w:pPr>
  </w:style>
  <w:style w:type="paragraph" w:styleId="6">
    <w:name w:val="envelope return"/>
    <w:basedOn w:val="1"/>
    <w:next w:val="1"/>
    <w:qFormat/>
    <w:uiPriority w:val="0"/>
    <w:pPr>
      <w:snapToGrid w:val="0"/>
    </w:pPr>
    <w:rPr>
      <w:rFonts w:ascii="Arial" w:hAnsi="Arial" w:cs="Arial"/>
    </w:rPr>
  </w:style>
  <w:style w:type="paragraph" w:styleId="7">
    <w:name w:val="Balloon Text"/>
    <w:basedOn w:val="1"/>
    <w:link w:val="26"/>
    <w:semiHidden/>
    <w:unhideWhenUsed/>
    <w:qFormat/>
    <w:uiPriority w:val="99"/>
    <w:rPr>
      <w:sz w:val="18"/>
      <w:szCs w:val="18"/>
    </w:r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Normal (Web)"/>
    <w:basedOn w:val="1"/>
    <w:unhideWhenUsed/>
    <w:qFormat/>
    <w:uiPriority w:val="0"/>
    <w:pPr>
      <w:spacing w:beforeAutospacing="1" w:afterAutospacing="1"/>
      <w:jc w:val="left"/>
    </w:pPr>
    <w:rPr>
      <w:kern w:val="0"/>
      <w:sz w:val="24"/>
    </w:rPr>
  </w:style>
  <w:style w:type="paragraph" w:styleId="12">
    <w:name w:val="annotation subject"/>
    <w:basedOn w:val="3"/>
    <w:next w:val="3"/>
    <w:link w:val="25"/>
    <w:semiHidden/>
    <w:unhideWhenUsed/>
    <w:qFormat/>
    <w:uiPriority w:val="99"/>
    <w:rPr>
      <w:b/>
      <w:bCs/>
    </w:rPr>
  </w:style>
  <w:style w:type="paragraph" w:styleId="13">
    <w:name w:val="Body Text First Indent 2"/>
    <w:basedOn w:val="5"/>
    <w:next w:val="1"/>
    <w:qFormat/>
    <w:uiPriority w:val="0"/>
    <w:pPr>
      <w:ind w:firstLine="420" w:firstLineChars="200"/>
    </w:pPr>
  </w:style>
  <w:style w:type="table" w:styleId="15">
    <w:name w:val="Table Grid"/>
    <w:basedOn w:val="14"/>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annotation reference"/>
    <w:basedOn w:val="16"/>
    <w:semiHidden/>
    <w:unhideWhenUsed/>
    <w:qFormat/>
    <w:uiPriority w:val="99"/>
    <w:rPr>
      <w:sz w:val="21"/>
      <w:szCs w:val="21"/>
    </w:rPr>
  </w:style>
  <w:style w:type="paragraph" w:customStyle="1" w:styleId="19">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character" w:customStyle="1" w:styleId="20">
    <w:name w:val="页眉 Char"/>
    <w:basedOn w:val="16"/>
    <w:link w:val="9"/>
    <w:semiHidden/>
    <w:qFormat/>
    <w:uiPriority w:val="99"/>
    <w:rPr>
      <w:sz w:val="18"/>
      <w:szCs w:val="18"/>
    </w:rPr>
  </w:style>
  <w:style w:type="character" w:customStyle="1" w:styleId="21">
    <w:name w:val="页脚 Char"/>
    <w:basedOn w:val="16"/>
    <w:link w:val="8"/>
    <w:semiHidden/>
    <w:qFormat/>
    <w:uiPriority w:val="99"/>
    <w:rPr>
      <w:sz w:val="18"/>
      <w:szCs w:val="18"/>
    </w:rPr>
  </w:style>
  <w:style w:type="paragraph" w:customStyle="1" w:styleId="22">
    <w:name w:val="列出段落1"/>
    <w:basedOn w:val="1"/>
    <w:qFormat/>
    <w:uiPriority w:val="34"/>
    <w:pPr>
      <w:ind w:firstLine="420" w:firstLineChars="200"/>
    </w:pPr>
  </w:style>
  <w:style w:type="paragraph" w:styleId="23">
    <w:name w:val="List Paragraph"/>
    <w:basedOn w:val="1"/>
    <w:unhideWhenUsed/>
    <w:qFormat/>
    <w:uiPriority w:val="99"/>
    <w:pPr>
      <w:ind w:firstLine="420" w:firstLineChars="200"/>
    </w:pPr>
  </w:style>
  <w:style w:type="character" w:customStyle="1" w:styleId="24">
    <w:name w:val="批注文字 Char"/>
    <w:basedOn w:val="16"/>
    <w:link w:val="3"/>
    <w:semiHidden/>
    <w:qFormat/>
    <w:uiPriority w:val="99"/>
    <w:rPr>
      <w:kern w:val="2"/>
      <w:sz w:val="21"/>
      <w:szCs w:val="22"/>
    </w:rPr>
  </w:style>
  <w:style w:type="character" w:customStyle="1" w:styleId="25">
    <w:name w:val="批注主题 Char"/>
    <w:basedOn w:val="24"/>
    <w:link w:val="12"/>
    <w:semiHidden/>
    <w:qFormat/>
    <w:uiPriority w:val="99"/>
    <w:rPr>
      <w:b/>
      <w:bCs/>
    </w:rPr>
  </w:style>
  <w:style w:type="character" w:customStyle="1" w:styleId="26">
    <w:name w:val="批注框文本 Char"/>
    <w:basedOn w:val="16"/>
    <w:link w:val="7"/>
    <w:semiHidden/>
    <w:qFormat/>
    <w:uiPriority w:val="99"/>
    <w:rPr>
      <w:kern w:val="2"/>
      <w:sz w:val="18"/>
      <w:szCs w:val="18"/>
    </w:rPr>
  </w:style>
  <w:style w:type="paragraph" w:customStyle="1" w:styleId="27">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28">
    <w:name w:val="Normal"/>
    <w:qFormat/>
    <w:uiPriority w:val="0"/>
    <w:rPr>
      <w:rFonts w:ascii="Times New Roman" w:hAnsi="Times New Roman" w:eastAsia="Times New Roman" w:cs="Times New Roman"/>
      <w:sz w:val="24"/>
      <w:szCs w:val="24"/>
      <w:lang w:bidi="ar-SA"/>
    </w:rPr>
  </w:style>
  <w:style w:type="table" w:customStyle="1" w:styleId="29">
    <w:name w:val="Plain Table 1"/>
    <w:basedOn w:val="14"/>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
    <w:name w:val="D&amp;L"/>
    <w:basedOn w:val="9"/>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1269</Words>
  <Characters>1364</Characters>
  <Lines>57</Lines>
  <Paragraphs>16</Paragraphs>
  <TotalTime>0</TotalTime>
  <ScaleCrop>false</ScaleCrop>
  <LinksUpToDate>false</LinksUpToDate>
  <CharactersWithSpaces>1389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2023-08-17T09:28:31Z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8722C9F311B44D40B7E9279C1A83C4B1_13</vt:lpwstr>
  </property>
</Properties>
</file>