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center"/>
        <w:rPr>
          <w:rFonts w:hAnsi="宋体" w:cs="宋体"/>
          <w:b/>
          <w:bCs/>
          <w:kern w:val="0"/>
          <w:sz w:val="52"/>
          <w:szCs w:val="52"/>
          <w:shd w:val="clear" w:color="auto" w:fill="FFFFFF"/>
        </w:rPr>
      </w:pPr>
      <w:r>
        <w:rPr>
          <w:rFonts w:hint="eastAsia" w:hAnsi="宋体" w:cs="宋体"/>
          <w:b/>
          <w:bCs/>
          <w:kern w:val="0"/>
          <w:sz w:val="52"/>
          <w:szCs w:val="52"/>
          <w:shd w:val="clear" w:color="auto" w:fill="FFFFFF"/>
        </w:rPr>
        <w:t>蚌埠市第二人民医院采购护理员、育婴师管理服务公司项目</w:t>
      </w:r>
    </w:p>
    <w:p/>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5"/>
        <w:ind w:firstLine="560"/>
        <w:rPr>
          <w:sz w:val="28"/>
          <w:szCs w:val="28"/>
        </w:rPr>
      </w:pPr>
    </w:p>
    <w:p>
      <w:pPr>
        <w:pStyle w:val="15"/>
        <w:ind w:left="0" w:leftChars="0" w:firstLine="1680" w:firstLineChars="600"/>
        <w:jc w:val="left"/>
        <w:rPr>
          <w:rFonts w:ascii="宋体" w:hAnsi="宋体" w:cs="宋体"/>
          <w:sz w:val="28"/>
          <w:szCs w:val="28"/>
        </w:rPr>
      </w:pPr>
      <w:r>
        <w:rPr>
          <w:rFonts w:hint="eastAsia" w:ascii="宋体" w:hAnsi="宋体" w:cs="宋体"/>
          <w:sz w:val="28"/>
          <w:szCs w:val="28"/>
        </w:rPr>
        <w:t>编制单位：</w:t>
      </w:r>
      <w:r>
        <w:rPr>
          <w:rFonts w:hint="eastAsia" w:ascii="宋体" w:hAnsi="宋体" w:cs="宋体"/>
          <w:sz w:val="28"/>
          <w:szCs w:val="28"/>
          <w:u w:val="single"/>
        </w:rPr>
        <w:t>蚌埠市第二人民医院</w:t>
      </w:r>
    </w:p>
    <w:p>
      <w:pPr>
        <w:pStyle w:val="15"/>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2024年1月</w:t>
      </w:r>
      <w:r>
        <w:rPr>
          <w:rFonts w:hint="eastAsia" w:ascii="宋体" w:hAnsi="宋体" w:cs="宋体"/>
          <w:sz w:val="28"/>
          <w:szCs w:val="28"/>
          <w:u w:val="single"/>
          <w:lang w:val="en-US" w:eastAsia="zh-CN"/>
        </w:rPr>
        <w:t>4</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5"/>
        <w:rPr>
          <w:kern w:val="0"/>
          <w:shd w:val="clear" w:color="auto" w:fill="FFFFFF"/>
        </w:rPr>
      </w:pPr>
    </w:p>
    <w:p/>
    <w:p>
      <w:pPr>
        <w:pStyle w:val="15"/>
        <w:rPr>
          <w:kern w:val="0"/>
          <w:shd w:val="clear" w:color="auto" w:fill="FFFFFF"/>
        </w:rPr>
      </w:pPr>
    </w:p>
    <w:p>
      <w:pPr>
        <w:pStyle w:val="15"/>
        <w:rPr>
          <w:kern w:val="0"/>
          <w:shd w:val="clear" w:color="auto" w:fill="FFFFFF"/>
        </w:rPr>
      </w:pPr>
    </w:p>
    <w:p/>
    <w:p>
      <w:pPr>
        <w:pStyle w:val="15"/>
        <w:rPr>
          <w:kern w:val="0"/>
          <w:shd w:val="clear" w:color="auto" w:fill="FFFFFF"/>
        </w:rPr>
      </w:pPr>
    </w:p>
    <w:p>
      <w:pPr>
        <w:pStyle w:val="15"/>
        <w:rPr>
          <w:kern w:val="0"/>
          <w:shd w:val="clear" w:color="auto" w:fill="FFFFFF"/>
        </w:rPr>
      </w:pPr>
    </w:p>
    <w:p>
      <w:pPr>
        <w:pStyle w:val="15"/>
        <w:ind w:left="0" w:leftChars="0" w:firstLine="0" w:firstLineChars="0"/>
        <w:rPr>
          <w:kern w:val="0"/>
          <w:shd w:val="clear" w:color="auto" w:fill="FFFFFF"/>
        </w:rPr>
      </w:pP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1.项目名称：蚌埠市第二人民医院采购护理员、育婴师管理服务公司项目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2、采购人：蚌埠市第二人民医院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4、项目编号：ZCGF-BBEY-2023085</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5、主要内容：蚌埠市第二人民医院采购护理员、育婴师管理服务公司项目，中标护理员管理服务公司提供护理员和育婴师的数量按照医院实际需求落实。具体采购内容详见采购需求；</w:t>
      </w:r>
    </w:p>
    <w:p>
      <w:pPr>
        <w:spacing w:line="360" w:lineRule="auto"/>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6、采购预算：</w:t>
      </w:r>
    </w:p>
    <w:p>
      <w:pPr>
        <w:spacing w:line="360" w:lineRule="auto"/>
        <w:rPr>
          <w:rFonts w:ascii="宋体" w:hAnsi="宋体" w:cs="宋体"/>
          <w:color w:val="auto"/>
          <w:sz w:val="24"/>
        </w:rPr>
      </w:pPr>
      <w:r>
        <w:rPr>
          <w:rFonts w:hint="eastAsia" w:ascii="宋体" w:hAnsi="宋体" w:eastAsia="宋体" w:cs="宋体"/>
          <w:color w:val="auto"/>
          <w:sz w:val="24"/>
        </w:rPr>
        <w:t>①</w:t>
      </w:r>
      <w:r>
        <w:rPr>
          <w:rFonts w:hint="eastAsia" w:ascii="宋体" w:hAnsi="宋体" w:cs="宋体"/>
          <w:color w:val="auto"/>
          <w:sz w:val="24"/>
        </w:rPr>
        <w:t>护理员</w:t>
      </w:r>
    </w:p>
    <w:tbl>
      <w:tblPr>
        <w:tblStyle w:val="37"/>
        <w:tblW w:w="520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28"/>
        <w:gridCol w:w="1254"/>
        <w:gridCol w:w="2014"/>
        <w:gridCol w:w="33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3"/>
                <w:kern w:val="0"/>
                <w:sz w:val="24"/>
                <w:szCs w:val="24"/>
              </w:rPr>
              <w:t>项目</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8"/>
                <w:kern w:val="0"/>
                <w:sz w:val="24"/>
                <w:szCs w:val="24"/>
              </w:rPr>
              <w:t>护理时间</w:t>
            </w:r>
          </w:p>
        </w:tc>
        <w:tc>
          <w:tcPr>
            <w:tcW w:w="1164" w:type="pct"/>
            <w:vAlign w:val="center"/>
          </w:tcPr>
          <w:p>
            <w:pPr>
              <w:widowControl/>
              <w:kinsoku w:val="0"/>
              <w:autoSpaceDE w:val="0"/>
              <w:autoSpaceDN w:val="0"/>
              <w:adjustRightInd w:val="0"/>
              <w:snapToGrid w:val="0"/>
              <w:spacing w:line="360" w:lineRule="auto"/>
              <w:jc w:val="center"/>
              <w:textAlignment w:val="baseline"/>
              <w:rPr>
                <w:rFonts w:hint="default" w:ascii="宋体" w:hAnsi="宋体" w:eastAsia="宋体" w:cs="宋体"/>
                <w:snapToGrid w:val="0"/>
                <w:color w:val="auto"/>
                <w:kern w:val="0"/>
                <w:sz w:val="24"/>
                <w:szCs w:val="24"/>
                <w:lang w:val="en-US" w:eastAsia="zh-CN"/>
              </w:rPr>
            </w:pPr>
            <w:r>
              <w:rPr>
                <w:rFonts w:hint="eastAsia" w:ascii="宋体" w:hAnsi="宋体" w:eastAsia="宋体" w:cs="宋体"/>
                <w:snapToGrid w:val="0"/>
                <w:color w:val="auto"/>
                <w:spacing w:val="9"/>
                <w:kern w:val="0"/>
                <w:sz w:val="24"/>
                <w:szCs w:val="24"/>
                <w:highlight w:val="yellow"/>
                <w:lang w:val="en-US" w:eastAsia="zh-CN"/>
              </w:rPr>
              <w:t>最高限价</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4"/>
                <w:kern w:val="0"/>
                <w:sz w:val="24"/>
                <w:szCs w:val="24"/>
              </w:rPr>
              <w:t>备</w:t>
            </w:r>
            <w:r>
              <w:rPr>
                <w:rFonts w:hint="eastAsia" w:ascii="宋体" w:hAnsi="宋体" w:eastAsia="宋体" w:cs="宋体"/>
                <w:snapToGrid w:val="0"/>
                <w:color w:val="auto"/>
                <w:spacing w:val="3"/>
                <w:kern w:val="0"/>
                <w:sz w:val="24"/>
                <w:szCs w:val="24"/>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7"/>
                <w:kern w:val="0"/>
                <w:sz w:val="24"/>
                <w:szCs w:val="24"/>
              </w:rPr>
              <w:t>一</w:t>
            </w:r>
            <w:r>
              <w:rPr>
                <w:rFonts w:hint="eastAsia" w:ascii="宋体" w:hAnsi="宋体" w:eastAsia="宋体" w:cs="宋体"/>
                <w:snapToGrid w:val="0"/>
                <w:color w:val="auto"/>
                <w:spacing w:val="6"/>
                <w:kern w:val="0"/>
                <w:sz w:val="24"/>
                <w:szCs w:val="24"/>
              </w:rPr>
              <w:t>对一</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10"/>
                <w:kern w:val="0"/>
                <w:sz w:val="24"/>
                <w:szCs w:val="24"/>
              </w:rPr>
              <w:t>2</w:t>
            </w:r>
            <w:r>
              <w:rPr>
                <w:rFonts w:hint="eastAsia" w:ascii="宋体" w:hAnsi="宋体" w:eastAsia="宋体" w:cs="宋体"/>
                <w:snapToGrid w:val="0"/>
                <w:color w:val="auto"/>
                <w:spacing w:val="-7"/>
                <w:kern w:val="0"/>
                <w:sz w:val="24"/>
                <w:szCs w:val="24"/>
              </w:rPr>
              <w:t>4小时</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11"/>
                <w:kern w:val="0"/>
                <w:sz w:val="24"/>
                <w:szCs w:val="24"/>
              </w:rPr>
              <w:t>260元/人</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2"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6"/>
                <w:kern w:val="0"/>
                <w:sz w:val="24"/>
                <w:szCs w:val="24"/>
              </w:rPr>
              <w:t>一</w:t>
            </w:r>
            <w:r>
              <w:rPr>
                <w:rFonts w:hint="eastAsia" w:ascii="宋体" w:hAnsi="宋体" w:eastAsia="宋体" w:cs="宋体"/>
                <w:snapToGrid w:val="0"/>
                <w:color w:val="auto"/>
                <w:spacing w:val="5"/>
                <w:kern w:val="0"/>
                <w:sz w:val="24"/>
                <w:szCs w:val="24"/>
              </w:rPr>
              <w:t>对多</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10"/>
                <w:kern w:val="0"/>
                <w:sz w:val="24"/>
                <w:szCs w:val="24"/>
              </w:rPr>
              <w:t>2</w:t>
            </w:r>
            <w:r>
              <w:rPr>
                <w:rFonts w:hint="eastAsia" w:ascii="宋体" w:hAnsi="宋体" w:eastAsia="宋体" w:cs="宋体"/>
                <w:snapToGrid w:val="0"/>
                <w:color w:val="auto"/>
                <w:spacing w:val="-7"/>
                <w:kern w:val="0"/>
                <w:sz w:val="24"/>
                <w:szCs w:val="24"/>
              </w:rPr>
              <w:t>4小时</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2"/>
                <w:kern w:val="0"/>
                <w:sz w:val="24"/>
                <w:szCs w:val="24"/>
              </w:rPr>
              <w:t>一级：1</w:t>
            </w:r>
            <w:r>
              <w:rPr>
                <w:rFonts w:hint="eastAsia" w:ascii="宋体" w:hAnsi="宋体" w:eastAsia="宋体" w:cs="宋体"/>
                <w:snapToGrid w:val="0"/>
                <w:color w:val="auto"/>
                <w:spacing w:val="-1"/>
                <w:kern w:val="0"/>
                <w:sz w:val="24"/>
                <w:szCs w:val="24"/>
              </w:rPr>
              <w:t>30元/人</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4"/>
                <w:kern w:val="0"/>
                <w:sz w:val="24"/>
                <w:szCs w:val="24"/>
              </w:rPr>
              <w:t>二</w:t>
            </w:r>
            <w:r>
              <w:rPr>
                <w:rFonts w:hint="eastAsia" w:ascii="宋体" w:hAnsi="宋体" w:eastAsia="宋体" w:cs="宋体"/>
                <w:snapToGrid w:val="0"/>
                <w:color w:val="auto"/>
                <w:spacing w:val="-3"/>
                <w:kern w:val="0"/>
                <w:sz w:val="24"/>
                <w:szCs w:val="24"/>
              </w:rPr>
              <w:t>级</w:t>
            </w:r>
            <w:r>
              <w:rPr>
                <w:rFonts w:hint="eastAsia" w:ascii="宋体" w:hAnsi="宋体" w:eastAsia="宋体" w:cs="宋体"/>
                <w:snapToGrid w:val="0"/>
                <w:color w:val="auto"/>
                <w:spacing w:val="-2"/>
                <w:kern w:val="0"/>
                <w:sz w:val="24"/>
                <w:szCs w:val="24"/>
              </w:rPr>
              <w:t>：90</w:t>
            </w:r>
            <w:r>
              <w:rPr>
                <w:rFonts w:hint="eastAsia" w:ascii="宋体" w:hAnsi="宋体" w:eastAsia="宋体" w:cs="宋体"/>
                <w:snapToGrid w:val="0"/>
                <w:color w:val="auto"/>
                <w:spacing w:val="-1"/>
                <w:kern w:val="0"/>
                <w:sz w:val="24"/>
                <w:szCs w:val="24"/>
              </w:rPr>
              <w:t>元/人</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2"/>
                <w:kern w:val="0"/>
                <w:sz w:val="24"/>
                <w:szCs w:val="24"/>
              </w:rPr>
              <w:t>三级：50</w:t>
            </w:r>
            <w:r>
              <w:rPr>
                <w:rFonts w:hint="eastAsia" w:ascii="宋体" w:hAnsi="宋体" w:eastAsia="宋体" w:cs="宋体"/>
                <w:snapToGrid w:val="0"/>
                <w:color w:val="auto"/>
                <w:spacing w:val="-1"/>
                <w:kern w:val="0"/>
                <w:sz w:val="24"/>
                <w:szCs w:val="24"/>
              </w:rPr>
              <w:t>元/人</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6"/>
                <w:kern w:val="0"/>
                <w:position w:val="1"/>
                <w:sz w:val="24"/>
                <w:szCs w:val="24"/>
              </w:rPr>
              <w:t>一</w:t>
            </w:r>
            <w:r>
              <w:rPr>
                <w:rFonts w:hint="eastAsia" w:ascii="宋体" w:hAnsi="宋体" w:eastAsia="宋体" w:cs="宋体"/>
                <w:snapToGrid w:val="0"/>
                <w:color w:val="auto"/>
                <w:spacing w:val="4"/>
                <w:kern w:val="0"/>
                <w:position w:val="1"/>
                <w:sz w:val="24"/>
                <w:szCs w:val="24"/>
              </w:rPr>
              <w:t>级</w:t>
            </w:r>
            <w:r>
              <w:rPr>
                <w:rFonts w:hint="eastAsia" w:ascii="宋体" w:hAnsi="宋体" w:eastAsia="宋体" w:cs="宋体"/>
                <w:snapToGrid w:val="0"/>
                <w:color w:val="auto"/>
                <w:spacing w:val="3"/>
                <w:kern w:val="0"/>
                <w:position w:val="1"/>
                <w:sz w:val="24"/>
                <w:szCs w:val="24"/>
              </w:rPr>
              <w:t>陪护不得高于1：3</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6"/>
                <w:kern w:val="0"/>
                <w:sz w:val="24"/>
                <w:szCs w:val="24"/>
              </w:rPr>
              <w:t>二</w:t>
            </w:r>
            <w:r>
              <w:rPr>
                <w:rFonts w:hint="eastAsia" w:ascii="宋体" w:hAnsi="宋体" w:eastAsia="宋体" w:cs="宋体"/>
                <w:snapToGrid w:val="0"/>
                <w:color w:val="auto"/>
                <w:spacing w:val="4"/>
                <w:kern w:val="0"/>
                <w:sz w:val="24"/>
                <w:szCs w:val="24"/>
              </w:rPr>
              <w:t>级</w:t>
            </w:r>
            <w:r>
              <w:rPr>
                <w:rFonts w:hint="eastAsia" w:ascii="宋体" w:hAnsi="宋体" w:eastAsia="宋体" w:cs="宋体"/>
                <w:snapToGrid w:val="0"/>
                <w:color w:val="auto"/>
                <w:spacing w:val="3"/>
                <w:kern w:val="0"/>
                <w:sz w:val="24"/>
                <w:szCs w:val="24"/>
              </w:rPr>
              <w:t>陪护不得高于1：5</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6"/>
                <w:kern w:val="0"/>
                <w:sz w:val="24"/>
                <w:szCs w:val="24"/>
              </w:rPr>
              <w:t>三</w:t>
            </w:r>
            <w:r>
              <w:rPr>
                <w:rFonts w:hint="eastAsia" w:ascii="宋体" w:hAnsi="宋体" w:eastAsia="宋体" w:cs="宋体"/>
                <w:snapToGrid w:val="0"/>
                <w:color w:val="auto"/>
                <w:spacing w:val="4"/>
                <w:kern w:val="0"/>
                <w:sz w:val="24"/>
                <w:szCs w:val="24"/>
              </w:rPr>
              <w:t>级</w:t>
            </w:r>
            <w:r>
              <w:rPr>
                <w:rFonts w:hint="eastAsia" w:ascii="宋体" w:hAnsi="宋体" w:eastAsia="宋体" w:cs="宋体"/>
                <w:snapToGrid w:val="0"/>
                <w:color w:val="auto"/>
                <w:spacing w:val="3"/>
                <w:kern w:val="0"/>
                <w:sz w:val="24"/>
                <w:szCs w:val="24"/>
              </w:rPr>
              <w:t>陪护不得高于1：8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Merge w:val="restart"/>
            <w:tcBorders>
              <w:bottom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spacing w:val="7"/>
                <w:kern w:val="0"/>
                <w:sz w:val="24"/>
                <w:szCs w:val="24"/>
              </w:rPr>
            </w:pPr>
            <w:r>
              <w:rPr>
                <w:rFonts w:hint="eastAsia" w:ascii="宋体" w:hAnsi="宋体" w:eastAsia="宋体" w:cs="宋体"/>
                <w:snapToGrid w:val="0"/>
                <w:color w:val="auto"/>
                <w:spacing w:val="9"/>
                <w:kern w:val="0"/>
                <w:sz w:val="24"/>
                <w:szCs w:val="24"/>
              </w:rPr>
              <w:t>母</w:t>
            </w:r>
            <w:r>
              <w:rPr>
                <w:rFonts w:hint="eastAsia" w:ascii="宋体" w:hAnsi="宋体" w:eastAsia="宋体" w:cs="宋体"/>
                <w:snapToGrid w:val="0"/>
                <w:color w:val="auto"/>
                <w:spacing w:val="7"/>
                <w:kern w:val="0"/>
                <w:sz w:val="24"/>
                <w:szCs w:val="24"/>
              </w:rPr>
              <w:t>婴护理</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spacing w:val="7"/>
                <w:kern w:val="0"/>
                <w:sz w:val="24"/>
                <w:szCs w:val="24"/>
              </w:rPr>
            </w:pPr>
            <w:r>
              <w:rPr>
                <w:rFonts w:hint="eastAsia" w:ascii="宋体" w:hAnsi="宋体" w:eastAsia="宋体" w:cs="宋体"/>
                <w:snapToGrid w:val="0"/>
                <w:color w:val="auto"/>
                <w:spacing w:val="7"/>
                <w:kern w:val="0"/>
                <w:sz w:val="24"/>
                <w:szCs w:val="24"/>
              </w:rPr>
              <w:t>（生产住院期间）</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3"/>
                <w:kern w:val="0"/>
                <w:sz w:val="24"/>
                <w:szCs w:val="24"/>
              </w:rPr>
              <w:t>自</w:t>
            </w:r>
            <w:r>
              <w:rPr>
                <w:rFonts w:hint="eastAsia" w:ascii="宋体" w:hAnsi="宋体" w:eastAsia="宋体" w:cs="宋体"/>
                <w:snapToGrid w:val="0"/>
                <w:color w:val="auto"/>
                <w:spacing w:val="-2"/>
                <w:kern w:val="0"/>
                <w:sz w:val="24"/>
                <w:szCs w:val="24"/>
              </w:rPr>
              <w:t>然分娩</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2"/>
                <w:kern w:val="0"/>
                <w:sz w:val="24"/>
                <w:szCs w:val="24"/>
              </w:rPr>
              <w:t>480元/</w:t>
            </w:r>
            <w:r>
              <w:rPr>
                <w:rFonts w:hint="eastAsia" w:ascii="宋体" w:hAnsi="宋体" w:eastAsia="宋体" w:cs="宋体"/>
                <w:snapToGrid w:val="0"/>
                <w:color w:val="auto"/>
                <w:spacing w:val="-1"/>
                <w:kern w:val="0"/>
                <w:sz w:val="24"/>
                <w:szCs w:val="24"/>
              </w:rPr>
              <w:t>周期</w:t>
            </w:r>
          </w:p>
        </w:tc>
        <w:tc>
          <w:tcPr>
            <w:tcW w:w="1937" w:type="pct"/>
            <w:vMerge w:val="restart"/>
            <w:tcBorders>
              <w:bottom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4"/>
                <w:kern w:val="0"/>
                <w:sz w:val="24"/>
                <w:szCs w:val="24"/>
              </w:rPr>
              <w:t>多</w:t>
            </w:r>
            <w:r>
              <w:rPr>
                <w:rFonts w:hint="eastAsia" w:ascii="宋体" w:hAnsi="宋体" w:eastAsia="宋体" w:cs="宋体"/>
                <w:snapToGrid w:val="0"/>
                <w:color w:val="auto"/>
                <w:spacing w:val="3"/>
                <w:kern w:val="0"/>
                <w:sz w:val="24"/>
                <w:szCs w:val="24"/>
              </w:rPr>
              <w:t>胞</w:t>
            </w:r>
            <w:r>
              <w:rPr>
                <w:rFonts w:hint="eastAsia" w:ascii="宋体" w:hAnsi="宋体" w:eastAsia="宋体" w:cs="宋体"/>
                <w:snapToGrid w:val="0"/>
                <w:color w:val="auto"/>
                <w:spacing w:val="2"/>
                <w:kern w:val="0"/>
                <w:sz w:val="24"/>
                <w:szCs w:val="24"/>
              </w:rPr>
              <w:t>胎需增加服务费50%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Merge w:val="continue"/>
            <w:tcBorders>
              <w:top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8"/>
                <w:kern w:val="0"/>
                <w:sz w:val="24"/>
                <w:szCs w:val="24"/>
              </w:rPr>
              <w:t>剖</w:t>
            </w:r>
            <w:r>
              <w:rPr>
                <w:rFonts w:hint="eastAsia" w:ascii="宋体" w:hAnsi="宋体" w:eastAsia="宋体" w:cs="宋体"/>
                <w:snapToGrid w:val="0"/>
                <w:color w:val="auto"/>
                <w:spacing w:val="7"/>
                <w:kern w:val="0"/>
                <w:sz w:val="24"/>
                <w:szCs w:val="24"/>
              </w:rPr>
              <w:t>宫分娩</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3"/>
                <w:kern w:val="0"/>
                <w:sz w:val="24"/>
                <w:szCs w:val="24"/>
              </w:rPr>
              <w:t>6</w:t>
            </w:r>
            <w:r>
              <w:rPr>
                <w:rFonts w:hint="eastAsia" w:ascii="宋体" w:hAnsi="宋体" w:eastAsia="宋体" w:cs="宋体"/>
                <w:snapToGrid w:val="0"/>
                <w:color w:val="auto"/>
                <w:spacing w:val="-2"/>
                <w:kern w:val="0"/>
                <w:sz w:val="24"/>
                <w:szCs w:val="24"/>
              </w:rPr>
              <w:t>80元/周期</w:t>
            </w:r>
          </w:p>
        </w:tc>
        <w:tc>
          <w:tcPr>
            <w:tcW w:w="1937" w:type="pct"/>
            <w:vMerge w:val="continue"/>
            <w:tcBorders>
              <w:top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spacing w:val="13"/>
                <w:kern w:val="0"/>
                <w:position w:val="17"/>
                <w:sz w:val="24"/>
                <w:szCs w:val="24"/>
              </w:rPr>
            </w:pPr>
            <w:r>
              <w:rPr>
                <w:rFonts w:hint="eastAsia" w:ascii="宋体" w:hAnsi="宋体" w:eastAsia="宋体" w:cs="宋体"/>
                <w:snapToGrid w:val="0"/>
                <w:color w:val="auto"/>
                <w:spacing w:val="13"/>
                <w:kern w:val="0"/>
                <w:position w:val="17"/>
                <w:sz w:val="24"/>
                <w:szCs w:val="24"/>
              </w:rPr>
              <w:t>终末服务</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24"/>
                <w:kern w:val="0"/>
                <w:sz w:val="24"/>
                <w:szCs w:val="24"/>
              </w:rPr>
              <w:t>尸体料理</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22"/>
                <w:kern w:val="0"/>
                <w:sz w:val="24"/>
                <w:szCs w:val="24"/>
              </w:rPr>
              <w:t>1</w:t>
            </w:r>
            <w:r>
              <w:rPr>
                <w:rFonts w:hint="eastAsia" w:ascii="宋体" w:hAnsi="宋体" w:eastAsia="宋体" w:cs="宋体"/>
                <w:snapToGrid w:val="0"/>
                <w:color w:val="auto"/>
                <w:spacing w:val="-20"/>
                <w:kern w:val="0"/>
                <w:sz w:val="24"/>
                <w:szCs w:val="24"/>
              </w:rPr>
              <w:t>次</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9"/>
                <w:kern w:val="0"/>
                <w:sz w:val="24"/>
                <w:szCs w:val="24"/>
              </w:rPr>
              <w:t>6</w:t>
            </w:r>
            <w:r>
              <w:rPr>
                <w:rFonts w:hint="eastAsia" w:ascii="宋体" w:hAnsi="宋体" w:eastAsia="宋体" w:cs="宋体"/>
                <w:snapToGrid w:val="0"/>
                <w:color w:val="auto"/>
                <w:spacing w:val="-8"/>
                <w:kern w:val="0"/>
                <w:sz w:val="24"/>
                <w:szCs w:val="24"/>
              </w:rPr>
              <w:t>00元</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color w:val="auto"/>
                <w:kern w:val="0"/>
                <w:sz w:val="24"/>
                <w:szCs w:val="24"/>
              </w:rPr>
            </w:pPr>
            <w:r>
              <w:rPr>
                <w:rFonts w:hint="eastAsia" w:ascii="宋体" w:hAnsi="宋体" w:eastAsia="宋体" w:cs="宋体"/>
                <w:snapToGrid w:val="0"/>
                <w:color w:val="auto"/>
                <w:spacing w:val="11"/>
                <w:kern w:val="0"/>
                <w:sz w:val="24"/>
                <w:szCs w:val="24"/>
              </w:rPr>
              <w:t>包</w:t>
            </w:r>
            <w:r>
              <w:rPr>
                <w:rFonts w:hint="eastAsia" w:ascii="宋体" w:hAnsi="宋体" w:eastAsia="宋体" w:cs="宋体"/>
                <w:snapToGrid w:val="0"/>
                <w:color w:val="auto"/>
                <w:spacing w:val="9"/>
                <w:kern w:val="0"/>
                <w:sz w:val="24"/>
                <w:szCs w:val="24"/>
              </w:rPr>
              <w:t>括擦洗、穿衣、包裹覆盖</w:t>
            </w:r>
          </w:p>
        </w:tc>
      </w:tr>
    </w:tbl>
    <w:p>
      <w:pPr>
        <w:spacing w:line="360" w:lineRule="auto"/>
        <w:rPr>
          <w:rFonts w:ascii="宋体" w:hAnsi="宋体" w:cs="宋体"/>
          <w:color w:val="auto"/>
          <w:sz w:val="24"/>
        </w:rPr>
      </w:pPr>
      <w:r>
        <w:rPr>
          <w:rFonts w:hint="eastAsia" w:ascii="宋体" w:hAnsi="宋体" w:cs="宋体"/>
          <w:color w:val="auto"/>
          <w:sz w:val="24"/>
        </w:rPr>
        <w:t>②育婴师</w:t>
      </w:r>
    </w:p>
    <w:p>
      <w:pPr>
        <w:spacing w:line="360" w:lineRule="auto"/>
        <w:rPr>
          <w:rFonts w:ascii="宋体" w:hAnsi="宋体" w:cs="宋体"/>
          <w:kern w:val="0"/>
          <w:sz w:val="24"/>
          <w:szCs w:val="24"/>
          <w:shd w:val="clear" w:color="auto" w:fill="FFFFFF"/>
        </w:rPr>
      </w:pPr>
      <w:r>
        <w:rPr>
          <w:rFonts w:hint="eastAsia" w:ascii="宋体" w:hAnsi="宋体" w:cs="宋体"/>
          <w:color w:val="0000FF"/>
          <w:sz w:val="24"/>
        </w:rPr>
        <w:t xml:space="preserve">    </w:t>
      </w:r>
      <w:r>
        <w:rPr>
          <w:rFonts w:hint="eastAsia" w:ascii="宋体" w:hAnsi="宋体" w:cs="宋体"/>
          <w:sz w:val="24"/>
        </w:rPr>
        <w:t>采购需求：为规范月子中心队伍管理，更好的满足住院产妇的生活照护需求，实现对</w:t>
      </w:r>
      <w:r>
        <w:rPr>
          <w:rFonts w:hint="eastAsia" w:ascii="宋体" w:hAnsi="宋体" w:cs="宋体"/>
          <w:color w:val="auto"/>
          <w:sz w:val="24"/>
        </w:rPr>
        <w:t>育婴师</w:t>
      </w:r>
      <w:r>
        <w:rPr>
          <w:rFonts w:hint="eastAsia" w:ascii="宋体" w:hAnsi="宋体" w:cs="宋体"/>
          <w:sz w:val="24"/>
        </w:rPr>
        <w:t>工作的科学化和规范化管理，提高产妇住院期间的满意度，具体详见采购需求。公司收取医院的管理服务费</w:t>
      </w:r>
      <w:r>
        <w:rPr>
          <w:rFonts w:hint="eastAsia" w:ascii="宋体" w:hAnsi="宋体" w:cs="宋体"/>
          <w:sz w:val="24"/>
          <w:highlight w:val="yellow"/>
        </w:rPr>
        <w:t>最高限价</w:t>
      </w:r>
      <w:r>
        <w:rPr>
          <w:rFonts w:hint="eastAsia" w:ascii="宋体" w:hAnsi="宋体" w:cs="宋体"/>
          <w:color w:val="auto"/>
          <w:sz w:val="24"/>
        </w:rPr>
        <w:t>300元/产妇人次</w:t>
      </w:r>
      <w:r>
        <w:rPr>
          <w:rFonts w:hint="eastAsia" w:ascii="宋体" w:hAnsi="宋体" w:cs="宋体"/>
          <w:color w:val="0000FF"/>
          <w:sz w:val="24"/>
        </w:rPr>
        <w:t>，</w:t>
      </w:r>
      <w:r>
        <w:rPr>
          <w:rFonts w:hint="eastAsia" w:ascii="宋体" w:hAnsi="宋体" w:cs="宋体"/>
          <w:sz w:val="24"/>
        </w:rPr>
        <w:t xml:space="preserve">最终以中标价为准。 </w:t>
      </w:r>
    </w:p>
    <w:p>
      <w:pPr>
        <w:widowControl/>
        <w:numPr>
          <w:ilvl w:val="0"/>
          <w:numId w:val="2"/>
        </w:numPr>
        <w:adjustRightInd w:val="0"/>
        <w:snapToGrid w:val="0"/>
        <w:spacing w:before="124" w:beforeLines="40" w:after="124" w:afterLines="40" w:line="400" w:lineRule="exac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报价要求：护理员：报统一折扣率</w:t>
      </w:r>
      <w:r>
        <w:rPr>
          <w:rFonts w:hint="eastAsia" w:ascii="宋体" w:hAnsi="宋体" w:cs="宋体"/>
          <w:kern w:val="0"/>
          <w:sz w:val="24"/>
          <w:szCs w:val="24"/>
          <w:shd w:val="clear" w:color="auto" w:fill="FFFFFF"/>
          <w:lang w:eastAsia="zh-CN"/>
        </w:rPr>
        <w:t>；</w:t>
      </w:r>
      <w:r>
        <w:rPr>
          <w:rFonts w:hint="eastAsia" w:ascii="宋体" w:hAnsi="宋体" w:cs="宋体"/>
          <w:kern w:val="0"/>
          <w:sz w:val="24"/>
          <w:szCs w:val="24"/>
          <w:shd w:val="clear" w:color="auto" w:fill="FFFFFF"/>
        </w:rPr>
        <w:t>育婴师：报统一折扣率</w:t>
      </w:r>
      <w:r>
        <w:rPr>
          <w:rFonts w:hint="eastAsia" w:ascii="宋体" w:hAnsi="宋体" w:cs="宋体"/>
          <w:kern w:val="0"/>
          <w:sz w:val="24"/>
          <w:szCs w:val="24"/>
          <w:shd w:val="clear" w:color="auto" w:fill="FFFFFF"/>
          <w:lang w:eastAsia="zh-CN"/>
        </w:rPr>
        <w:t>。</w:t>
      </w:r>
    </w:p>
    <w:p>
      <w:pPr>
        <w:widowControl/>
        <w:adjustRightInd w:val="0"/>
        <w:snapToGrid w:val="0"/>
        <w:spacing w:before="124" w:beforeLines="40" w:after="124" w:afterLines="40" w:line="400" w:lineRule="exact"/>
        <w:rPr>
          <w:rFonts w:ascii="宋体" w:hAnsi="宋体" w:cs="宋体"/>
          <w:color w:val="FF0000"/>
          <w:sz w:val="24"/>
        </w:rPr>
      </w:pPr>
      <w:r>
        <w:rPr>
          <w:rFonts w:hint="eastAsia" w:ascii="宋体" w:hAnsi="宋体" w:cs="宋体"/>
          <w:kern w:val="0"/>
          <w:sz w:val="24"/>
          <w:szCs w:val="24"/>
          <w:shd w:val="clear" w:color="auto" w:fill="FFFFFF"/>
        </w:rPr>
        <w:t>（</w:t>
      </w:r>
      <w:r>
        <w:rPr>
          <w:rFonts w:hint="eastAsia" w:ascii="宋体" w:hAnsi="宋体" w:cs="宋体"/>
          <w:kern w:val="0"/>
          <w:sz w:val="24"/>
          <w:szCs w:val="24"/>
          <w:highlight w:val="yellow"/>
          <w:shd w:val="clear" w:color="auto" w:fill="FFFFFF"/>
        </w:rPr>
        <w:t>例</w:t>
      </w:r>
      <w:r>
        <w:rPr>
          <w:rFonts w:hint="eastAsia" w:ascii="宋体" w:hAnsi="宋体" w:cs="宋体"/>
          <w:kern w:val="0"/>
          <w:sz w:val="24"/>
          <w:szCs w:val="24"/>
          <w:highlight w:val="yellow"/>
          <w:shd w:val="clear" w:color="auto" w:fill="FFFFFF"/>
          <w:lang w:val="en-US" w:eastAsia="zh-CN"/>
        </w:rPr>
        <w:t>如</w:t>
      </w:r>
      <w:r>
        <w:rPr>
          <w:rFonts w:hint="eastAsia" w:ascii="宋体" w:hAnsi="宋体" w:cs="宋体"/>
          <w:kern w:val="0"/>
          <w:sz w:val="24"/>
          <w:szCs w:val="24"/>
          <w:highlight w:val="yellow"/>
          <w:shd w:val="clear" w:color="auto" w:fill="FFFFFF"/>
        </w:rPr>
        <w:t>：育婴师管理服务费不高于300元/产妇人次</w:t>
      </w:r>
      <w:r>
        <w:rPr>
          <w:rFonts w:hint="eastAsia" w:ascii="宋体" w:hAnsi="宋体" w:cs="宋体"/>
          <w:kern w:val="0"/>
          <w:sz w:val="24"/>
          <w:szCs w:val="24"/>
          <w:highlight w:val="yellow"/>
          <w:shd w:val="clear" w:color="auto" w:fill="FFFFFF"/>
          <w:lang w:eastAsia="zh-CN"/>
        </w:rPr>
        <w:t>，</w:t>
      </w:r>
      <w:r>
        <w:rPr>
          <w:rFonts w:hint="eastAsia" w:ascii="宋体" w:hAnsi="宋体" w:cs="宋体"/>
          <w:kern w:val="0"/>
          <w:sz w:val="24"/>
          <w:szCs w:val="24"/>
          <w:highlight w:val="yellow"/>
          <w:shd w:val="clear" w:color="auto" w:fill="FFFFFF"/>
        </w:rPr>
        <w:t>投标</w:t>
      </w:r>
      <w:r>
        <w:rPr>
          <w:rFonts w:hint="eastAsia" w:ascii="宋体" w:hAnsi="宋体" w:cs="宋体"/>
          <w:kern w:val="0"/>
          <w:sz w:val="24"/>
          <w:szCs w:val="24"/>
          <w:highlight w:val="yellow"/>
          <w:shd w:val="clear" w:color="auto" w:fill="FFFFFF"/>
          <w:lang w:val="en-US" w:eastAsia="zh-CN"/>
        </w:rPr>
        <w:t>统一</w:t>
      </w:r>
      <w:r>
        <w:rPr>
          <w:rFonts w:hint="eastAsia" w:ascii="宋体" w:hAnsi="宋体" w:cs="宋体"/>
          <w:kern w:val="0"/>
          <w:sz w:val="24"/>
          <w:szCs w:val="24"/>
          <w:highlight w:val="yellow"/>
          <w:shd w:val="clear" w:color="auto" w:fill="FFFFFF"/>
        </w:rPr>
        <w:t>折扣率为80%，</w:t>
      </w:r>
      <w:r>
        <w:rPr>
          <w:rFonts w:hint="eastAsia" w:ascii="宋体" w:hAnsi="宋体" w:cs="宋体"/>
          <w:kern w:val="0"/>
          <w:sz w:val="24"/>
          <w:szCs w:val="24"/>
          <w:highlight w:val="yellow"/>
          <w:shd w:val="clear" w:color="auto" w:fill="FFFFFF"/>
          <w:lang w:val="en-US" w:eastAsia="zh-CN"/>
        </w:rPr>
        <w:t>即为</w:t>
      </w:r>
      <w:r>
        <w:rPr>
          <w:rFonts w:hint="eastAsia" w:ascii="宋体" w:hAnsi="宋体" w:cs="宋体"/>
          <w:kern w:val="0"/>
          <w:sz w:val="24"/>
          <w:szCs w:val="24"/>
          <w:highlight w:val="yellow"/>
          <w:shd w:val="clear" w:color="auto" w:fill="FFFFFF"/>
        </w:rPr>
        <w:t>300*80%</w:t>
      </w:r>
      <w:r>
        <w:rPr>
          <w:rFonts w:hint="eastAsia" w:ascii="宋体" w:hAnsi="宋体" w:cs="宋体"/>
          <w:kern w:val="0"/>
          <w:sz w:val="24"/>
          <w:szCs w:val="24"/>
          <w:highlight w:val="yellow"/>
          <w:shd w:val="clear" w:color="auto" w:fill="FFFFFF"/>
          <w:lang w:val="en-US" w:eastAsia="zh-CN"/>
        </w:rPr>
        <w:t>=240元/</w:t>
      </w:r>
      <w:r>
        <w:rPr>
          <w:rFonts w:hint="eastAsia" w:ascii="宋体" w:hAnsi="宋体" w:cs="宋体"/>
          <w:color w:val="auto"/>
          <w:sz w:val="24"/>
          <w:highlight w:val="yellow"/>
        </w:rPr>
        <w:t>产妇人次</w:t>
      </w:r>
      <w:r>
        <w:rPr>
          <w:rFonts w:hint="eastAsia" w:ascii="宋体" w:hAnsi="宋体" w:cs="宋体"/>
          <w:kern w:val="0"/>
          <w:sz w:val="24"/>
          <w:szCs w:val="24"/>
          <w:highlight w:val="yellow"/>
          <w:shd w:val="clear" w:color="auto" w:fill="FFFFFF"/>
        </w:rPr>
        <w:t>）</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b/>
          <w:bCs/>
          <w:sz w:val="24"/>
        </w:rPr>
        <w:t>注：</w:t>
      </w:r>
      <w:r>
        <w:rPr>
          <w:rFonts w:hint="eastAsia" w:ascii="宋体" w:hAnsi="宋体" w:cs="宋体"/>
          <w:b/>
          <w:sz w:val="24"/>
        </w:rPr>
        <w:t>响应报价不得超过限价，否则响应文件无效。</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8、服务期：3年（采用1+1+1模式）；</w:t>
      </w:r>
    </w:p>
    <w:p>
      <w:pPr>
        <w:widowControl/>
        <w:snapToGrid w:val="0"/>
        <w:spacing w:line="360" w:lineRule="auto"/>
        <w:jc w:val="left"/>
        <w:rPr>
          <w:rFonts w:ascii="宋体" w:hAnsi="宋体" w:cs="宋体"/>
          <w:color w:val="auto"/>
          <w:kern w:val="0"/>
          <w:sz w:val="24"/>
          <w:szCs w:val="24"/>
          <w:shd w:val="clear" w:color="auto" w:fill="FFFFFF"/>
          <w:lang w:val="zh-CN"/>
        </w:rPr>
      </w:pPr>
      <w:r>
        <w:rPr>
          <w:rFonts w:hint="eastAsia" w:ascii="宋体" w:hAnsi="宋体" w:cs="宋体"/>
          <w:color w:val="auto"/>
          <w:kern w:val="0"/>
          <w:sz w:val="24"/>
          <w:szCs w:val="24"/>
          <w:shd w:val="clear" w:color="auto" w:fill="FFFFFF"/>
        </w:rPr>
        <w:t>9、拟采用的评审方法：综合评分法；</w:t>
      </w:r>
    </w:p>
    <w:p>
      <w:pPr>
        <w:widowControl/>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10、付款方式：按月进行结算（以合同为准）；</w:t>
      </w:r>
    </w:p>
    <w:p>
      <w:pPr>
        <w:widowControl/>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 xml:space="preserve">11、服务地点：蚌埠市第二人民医院，采购人指定地点；    </w:t>
      </w:r>
    </w:p>
    <w:p>
      <w:pPr>
        <w:pStyle w:val="13"/>
        <w:widowControl/>
        <w:shd w:val="clear" w:color="auto" w:fill="FFFFFF"/>
        <w:spacing w:beforeAutospacing="0" w:afterAutospacing="0" w:line="360" w:lineRule="auto"/>
        <w:rPr>
          <w:rFonts w:ascii="宋体" w:hAnsi="宋体" w:cs="宋体"/>
          <w:szCs w:val="24"/>
          <w:shd w:val="clear" w:color="auto" w:fill="FFFFFF"/>
        </w:rPr>
      </w:pPr>
      <w:r>
        <w:rPr>
          <w:rFonts w:hint="eastAsia" w:ascii="宋体" w:hAnsi="宋体" w:cs="宋体"/>
          <w:szCs w:val="24"/>
          <w:shd w:val="clear" w:color="auto" w:fill="FFFFFF"/>
        </w:rPr>
        <w:t>12、申请人的资格要求：</w:t>
      </w:r>
    </w:p>
    <w:p>
      <w:pPr>
        <w:pStyle w:val="30"/>
        <w:spacing w:line="360" w:lineRule="auto"/>
        <w:jc w:val="both"/>
        <w:rPr>
          <w:rFonts w:ascii="宋体" w:hAnsi="宋体" w:eastAsia="宋体" w:cs="宋体"/>
          <w:lang w:val="zh-CN"/>
        </w:rPr>
      </w:pPr>
      <w:r>
        <w:rPr>
          <w:rFonts w:hint="eastAsia" w:ascii="宋体" w:hAnsi="宋体" w:eastAsia="宋体" w:cs="宋体"/>
          <w:lang w:val="zh-CN"/>
        </w:rPr>
        <w:t>1.满足《中华人民共和国政府采购法》第二十二条规定；</w:t>
      </w:r>
    </w:p>
    <w:p>
      <w:pPr>
        <w:pStyle w:val="30"/>
        <w:spacing w:line="360" w:lineRule="auto"/>
        <w:jc w:val="both"/>
        <w:rPr>
          <w:rFonts w:ascii="宋体" w:hAnsi="宋体" w:eastAsia="宋体" w:cs="宋体"/>
          <w:lang w:val="zh-CN"/>
        </w:rPr>
      </w:pPr>
      <w:r>
        <w:rPr>
          <w:rFonts w:hint="eastAsia" w:ascii="宋体" w:hAnsi="宋体" w:eastAsia="宋体" w:cs="宋体"/>
          <w:lang w:val="zh-CN"/>
        </w:rPr>
        <w:t>2.落实政府采购政策需满足的资格要求：</w:t>
      </w:r>
      <w:r>
        <w:rPr>
          <w:rFonts w:hint="eastAsia" w:ascii="宋体" w:hAnsi="宋体" w:eastAsia="宋体" w:cs="宋体"/>
          <w:u w:val="single"/>
          <w:lang w:val="zh-CN"/>
        </w:rPr>
        <w:t>无</w:t>
      </w:r>
    </w:p>
    <w:p>
      <w:pPr>
        <w:pStyle w:val="30"/>
        <w:spacing w:line="360" w:lineRule="auto"/>
        <w:jc w:val="both"/>
        <w:rPr>
          <w:rFonts w:ascii="宋体" w:hAnsi="宋体" w:eastAsia="宋体" w:cs="宋体"/>
          <w:lang w:val="zh-CN"/>
        </w:rPr>
      </w:pPr>
      <w:r>
        <w:rPr>
          <w:rFonts w:hint="eastAsia" w:ascii="宋体" w:hAnsi="宋体" w:eastAsia="宋体" w:cs="宋体"/>
          <w:lang w:val="zh-CN"/>
        </w:rPr>
        <w:t>3.本项目的特定资格要求：</w:t>
      </w:r>
    </w:p>
    <w:p>
      <w:pPr>
        <w:pStyle w:val="13"/>
        <w:widowControl/>
        <w:shd w:val="clear" w:color="auto" w:fill="FFFFFF"/>
        <w:spacing w:beforeAutospacing="0" w:afterAutospacing="0" w:line="360" w:lineRule="auto"/>
        <w:rPr>
          <w:rFonts w:ascii="宋体" w:hAnsi="宋体" w:eastAsia="宋体" w:cs="宋体"/>
          <w:szCs w:val="24"/>
        </w:rPr>
      </w:pPr>
      <w:r>
        <w:rPr>
          <w:rFonts w:hint="eastAsia" w:ascii="宋体" w:hAnsi="宋体" w:eastAsia="宋体" w:cs="宋体"/>
          <w:color w:val="0000FF"/>
          <w:szCs w:val="24"/>
        </w:rPr>
        <w:t xml:space="preserve"> </w:t>
      </w:r>
      <w:r>
        <w:rPr>
          <w:rFonts w:hint="eastAsia" w:ascii="宋体" w:hAnsi="宋体" w:eastAsia="宋体" w:cs="宋体"/>
          <w:szCs w:val="24"/>
        </w:rPr>
        <w:t xml:space="preserve"> 1、投标人具有独立法人资格，具备合法有效的企业营业执照。</w:t>
      </w:r>
    </w:p>
    <w:p>
      <w:pPr>
        <w:pStyle w:val="13"/>
        <w:widowControl/>
        <w:shd w:val="clear" w:color="auto" w:fill="FFFFFF"/>
        <w:spacing w:beforeAutospacing="0" w:afterAutospacing="0" w:line="360" w:lineRule="auto"/>
        <w:ind w:firstLine="240" w:firstLineChars="100"/>
        <w:rPr>
          <w:rFonts w:ascii="宋体" w:hAnsi="宋体" w:eastAsia="宋体" w:cs="宋体"/>
          <w:szCs w:val="24"/>
        </w:rPr>
      </w:pPr>
      <w:r>
        <w:rPr>
          <w:rFonts w:hint="eastAsia" w:ascii="宋体" w:hAnsi="宋体" w:eastAsia="宋体" w:cs="宋体"/>
          <w:szCs w:val="24"/>
        </w:rPr>
        <w:t>2、本项目不接受联合体投标；</w:t>
      </w:r>
    </w:p>
    <w:p>
      <w:pPr>
        <w:jc w:val="center"/>
        <w:rPr>
          <w:rFonts w:ascii="新宋体" w:hAnsi="新宋体" w:eastAsia="新宋体" w:cs="方正小标宋简体"/>
          <w:b/>
          <w:sz w:val="32"/>
          <w:szCs w:val="36"/>
        </w:rPr>
      </w:pPr>
      <w:r>
        <w:rPr>
          <w:rFonts w:hint="eastAsia" w:ascii="宋体" w:hAnsi="宋体" w:eastAsia="宋体" w:cs="宋体"/>
          <w:kern w:val="0"/>
          <w:sz w:val="24"/>
          <w:szCs w:val="24"/>
        </w:rPr>
        <w:t xml:space="preserve"> </w:t>
      </w:r>
      <w:r>
        <w:rPr>
          <w:rFonts w:hint="eastAsia" w:ascii="新宋体" w:hAnsi="新宋体" w:eastAsia="新宋体" w:cs="方正小标宋简体"/>
          <w:b/>
          <w:sz w:val="32"/>
          <w:szCs w:val="36"/>
        </w:rPr>
        <w:t xml:space="preserve"> </w:t>
      </w:r>
    </w:p>
    <w:p>
      <w:pPr>
        <w:jc w:val="center"/>
        <w:rPr>
          <w:rFonts w:ascii="新宋体" w:hAnsi="新宋体" w:eastAsia="新宋体" w:cs="方正小标宋简体"/>
          <w:b/>
          <w:sz w:val="32"/>
          <w:szCs w:val="36"/>
        </w:rPr>
      </w:pPr>
    </w:p>
    <w:p>
      <w:pPr>
        <w:rPr>
          <w:rFonts w:ascii="宋体" w:hAnsi="宋体" w:cs="宋体"/>
        </w:rPr>
      </w:pPr>
      <w:r>
        <w:rPr>
          <w:rFonts w:hint="eastAsia" w:ascii="宋体" w:hAnsi="宋体" w:cs="宋体"/>
        </w:rPr>
        <w:br w:type="page"/>
      </w:r>
    </w:p>
    <w:p>
      <w:pPr>
        <w:pStyle w:val="2"/>
        <w:widowControl/>
        <w:snapToGrid w:val="0"/>
        <w:spacing w:before="0" w:after="0" w:line="360" w:lineRule="auto"/>
        <w:jc w:val="center"/>
        <w:rPr>
          <w:rFonts w:ascii="宋体" w:hAnsi="宋体" w:cs="宋体"/>
        </w:rPr>
      </w:pPr>
      <w:r>
        <w:rPr>
          <w:rFonts w:hint="eastAsia" w:ascii="宋体" w:hAnsi="宋体" w:cs="宋体"/>
        </w:rPr>
        <w:t>蚌埠市第二人民医院采购护理员、育婴师管理服务公司项目</w:t>
      </w:r>
    </w:p>
    <w:p>
      <w:pPr>
        <w:pStyle w:val="2"/>
        <w:widowControl/>
        <w:snapToGrid w:val="0"/>
        <w:spacing w:before="0" w:after="0" w:line="360" w:lineRule="auto"/>
        <w:jc w:val="center"/>
        <w:rPr>
          <w:rFonts w:ascii="宋体" w:hAnsi="宋体" w:cs="宋体"/>
        </w:rPr>
      </w:pPr>
      <w:r>
        <w:rPr>
          <w:rFonts w:hint="eastAsia" w:ascii="宋体" w:hAnsi="宋体" w:cs="宋体"/>
        </w:rPr>
        <w:t>采购需求</w:t>
      </w:r>
    </w:p>
    <w:p>
      <w:pPr>
        <w:jc w:val="left"/>
        <w:rPr>
          <w:rFonts w:ascii="宋体" w:hAnsi="宋体" w:cs="宋体"/>
          <w:b/>
          <w:bCs/>
          <w:sz w:val="28"/>
        </w:rPr>
      </w:pPr>
      <w:r>
        <w:rPr>
          <w:rFonts w:hint="eastAsia" w:ascii="宋体" w:hAnsi="宋体" w:cs="宋体"/>
          <w:b/>
          <w:bCs/>
          <w:sz w:val="28"/>
        </w:rPr>
        <w:t>一、采购需求前附表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100"/>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before="124" w:beforeLines="40" w:after="124" w:afterLines="40" w:line="400" w:lineRule="exact"/>
              <w:jc w:val="center"/>
              <w:rPr>
                <w:rFonts w:ascii="宋体" w:hAnsi="宋体" w:cs="宋体"/>
                <w:b/>
                <w:sz w:val="24"/>
              </w:rPr>
            </w:pPr>
            <w:r>
              <w:rPr>
                <w:rFonts w:hint="eastAsia" w:ascii="宋体" w:hAnsi="宋体" w:cs="宋体"/>
                <w:b/>
                <w:sz w:val="24"/>
              </w:rPr>
              <w:t>序号</w:t>
            </w:r>
          </w:p>
        </w:tc>
        <w:tc>
          <w:tcPr>
            <w:tcW w:w="2100" w:type="dxa"/>
          </w:tcPr>
          <w:p>
            <w:pPr>
              <w:spacing w:before="124" w:beforeLines="40" w:after="124" w:afterLines="40" w:line="400" w:lineRule="exact"/>
              <w:jc w:val="center"/>
              <w:rPr>
                <w:rFonts w:ascii="宋体" w:hAnsi="宋体" w:cs="宋体"/>
                <w:b/>
                <w:sz w:val="24"/>
              </w:rPr>
            </w:pPr>
            <w:r>
              <w:rPr>
                <w:rFonts w:hint="eastAsia" w:ascii="宋体" w:hAnsi="宋体" w:cs="宋体"/>
                <w:b/>
                <w:sz w:val="24"/>
              </w:rPr>
              <w:t>条款名称</w:t>
            </w:r>
          </w:p>
        </w:tc>
        <w:tc>
          <w:tcPr>
            <w:tcW w:w="5985" w:type="dxa"/>
          </w:tcPr>
          <w:p>
            <w:pPr>
              <w:spacing w:before="124" w:beforeLines="40" w:after="124" w:afterLines="40" w:line="400" w:lineRule="exact"/>
              <w:jc w:val="center"/>
              <w:rPr>
                <w:rFonts w:ascii="宋体" w:hAnsi="宋体" w:cs="宋体"/>
                <w:b/>
                <w:sz w:val="24"/>
              </w:rPr>
            </w:pPr>
            <w:r>
              <w:rPr>
                <w:rFonts w:hint="eastAsia" w:ascii="宋体" w:hAnsi="宋体" w:cs="宋体"/>
                <w:b/>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40" w:type="dxa"/>
          </w:tcPr>
          <w:p>
            <w:pPr>
              <w:spacing w:before="124" w:beforeLines="40" w:after="124" w:afterLines="40" w:line="400" w:lineRule="exact"/>
              <w:jc w:val="center"/>
              <w:rPr>
                <w:rFonts w:ascii="宋体" w:hAnsi="宋体" w:cs="宋体"/>
                <w:sz w:val="24"/>
              </w:rPr>
            </w:pPr>
            <w:r>
              <w:rPr>
                <w:rFonts w:hint="eastAsia" w:ascii="宋体" w:hAnsi="宋体" w:cs="宋体"/>
                <w:sz w:val="24"/>
              </w:rPr>
              <w:t>1</w:t>
            </w:r>
          </w:p>
        </w:tc>
        <w:tc>
          <w:tcPr>
            <w:tcW w:w="2100" w:type="dxa"/>
            <w:vAlign w:val="center"/>
          </w:tcPr>
          <w:p>
            <w:pPr>
              <w:spacing w:before="124" w:beforeLines="40" w:after="124" w:afterLines="40" w:line="400" w:lineRule="exact"/>
              <w:jc w:val="center"/>
              <w:rPr>
                <w:rFonts w:ascii="宋体" w:hAnsi="宋体" w:cs="宋体"/>
                <w:sz w:val="24"/>
              </w:rPr>
            </w:pPr>
            <w:r>
              <w:rPr>
                <w:rFonts w:hint="eastAsia" w:ascii="宋体" w:hAnsi="宋体" w:cs="宋体"/>
                <w:sz w:val="24"/>
              </w:rPr>
              <w:t>付款方式</w:t>
            </w:r>
          </w:p>
        </w:tc>
        <w:tc>
          <w:tcPr>
            <w:tcW w:w="5985" w:type="dxa"/>
          </w:tcPr>
          <w:p>
            <w:pPr>
              <w:spacing w:before="124" w:beforeLines="40" w:after="124" w:afterLines="40" w:line="400" w:lineRule="exact"/>
              <w:rPr>
                <w:rFonts w:ascii="宋体" w:hAnsi="宋体" w:cs="宋体"/>
                <w:sz w:val="24"/>
              </w:rPr>
            </w:pPr>
            <w:r>
              <w:rPr>
                <w:rFonts w:hint="eastAsia" w:ascii="宋体" w:hAnsi="宋体" w:cs="宋体"/>
                <w:sz w:val="24"/>
              </w:rPr>
              <w:t xml:space="preserve">详见供应商须知前附表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before="124" w:beforeLines="40" w:after="124" w:afterLines="40" w:line="400" w:lineRule="exact"/>
              <w:jc w:val="center"/>
              <w:rPr>
                <w:rFonts w:ascii="宋体" w:hAnsi="宋体" w:cs="宋体"/>
                <w:sz w:val="24"/>
              </w:rPr>
            </w:pPr>
            <w:r>
              <w:rPr>
                <w:rFonts w:hint="eastAsia" w:ascii="宋体" w:hAnsi="宋体" w:cs="宋体"/>
                <w:sz w:val="24"/>
              </w:rPr>
              <w:t>2</w:t>
            </w:r>
          </w:p>
        </w:tc>
        <w:tc>
          <w:tcPr>
            <w:tcW w:w="2100" w:type="dxa"/>
            <w:vAlign w:val="center"/>
          </w:tcPr>
          <w:p>
            <w:pPr>
              <w:spacing w:before="124" w:beforeLines="40" w:after="124" w:afterLines="40" w:line="400" w:lineRule="exact"/>
              <w:jc w:val="center"/>
              <w:rPr>
                <w:rFonts w:ascii="宋体" w:hAnsi="宋体" w:cs="宋体"/>
                <w:sz w:val="24"/>
              </w:rPr>
            </w:pPr>
            <w:r>
              <w:rPr>
                <w:rFonts w:hint="eastAsia" w:ascii="宋体" w:hAnsi="宋体" w:cs="宋体"/>
                <w:sz w:val="24"/>
              </w:rPr>
              <w:t>服务期</w:t>
            </w:r>
          </w:p>
        </w:tc>
        <w:tc>
          <w:tcPr>
            <w:tcW w:w="5985" w:type="dxa"/>
          </w:tcPr>
          <w:p>
            <w:pPr>
              <w:spacing w:before="124" w:beforeLines="40" w:after="124" w:afterLines="40" w:line="400" w:lineRule="exact"/>
              <w:rPr>
                <w:rFonts w:ascii="宋体" w:hAnsi="宋体" w:cs="宋体"/>
                <w:sz w:val="24"/>
              </w:rPr>
            </w:pPr>
            <w:r>
              <w:rPr>
                <w:rFonts w:hint="eastAsia" w:ascii="宋体" w:hAnsi="宋体" w:cs="宋体"/>
                <w:sz w:val="24"/>
              </w:rPr>
              <w:t xml:space="preserve">详见供应商须知前附表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840" w:type="dxa"/>
          </w:tcPr>
          <w:p>
            <w:pPr>
              <w:spacing w:before="124" w:beforeLines="40" w:after="124" w:afterLines="40" w:line="400" w:lineRule="exact"/>
              <w:jc w:val="center"/>
              <w:rPr>
                <w:rFonts w:ascii="宋体" w:hAnsi="宋体" w:cs="宋体"/>
                <w:sz w:val="24"/>
              </w:rPr>
            </w:pPr>
            <w:r>
              <w:rPr>
                <w:rFonts w:hint="eastAsia" w:ascii="宋体" w:hAnsi="宋体" w:cs="宋体"/>
                <w:sz w:val="24"/>
              </w:rPr>
              <w:t>3</w:t>
            </w:r>
          </w:p>
        </w:tc>
        <w:tc>
          <w:tcPr>
            <w:tcW w:w="2100" w:type="dxa"/>
            <w:vAlign w:val="center"/>
          </w:tcPr>
          <w:p>
            <w:pPr>
              <w:spacing w:before="124" w:beforeLines="40" w:after="124" w:afterLines="40" w:line="400" w:lineRule="exact"/>
              <w:jc w:val="center"/>
              <w:rPr>
                <w:rFonts w:ascii="宋体" w:hAnsi="宋体" w:cs="宋体"/>
                <w:sz w:val="24"/>
              </w:rPr>
            </w:pPr>
            <w:r>
              <w:rPr>
                <w:rFonts w:hint="eastAsia" w:ascii="宋体" w:hAnsi="宋体" w:cs="宋体"/>
                <w:sz w:val="24"/>
              </w:rPr>
              <w:t>服务地点</w:t>
            </w:r>
          </w:p>
        </w:tc>
        <w:tc>
          <w:tcPr>
            <w:tcW w:w="5985" w:type="dxa"/>
          </w:tcPr>
          <w:p>
            <w:pPr>
              <w:spacing w:before="124" w:beforeLines="40" w:after="124" w:afterLines="40" w:line="400" w:lineRule="exact"/>
              <w:rPr>
                <w:rFonts w:ascii="宋体" w:hAnsi="宋体" w:cs="宋体"/>
                <w:sz w:val="24"/>
              </w:rPr>
            </w:pPr>
            <w:r>
              <w:rPr>
                <w:rFonts w:hint="eastAsia" w:ascii="宋体" w:hAnsi="宋体" w:cs="宋体"/>
                <w:sz w:val="24"/>
              </w:rPr>
              <w:t xml:space="preserve">详见供应商须知前附表 </w:t>
            </w:r>
          </w:p>
        </w:tc>
      </w:tr>
    </w:tbl>
    <w:p>
      <w:pPr>
        <w:pStyle w:val="25"/>
        <w:numPr>
          <w:ilvl w:val="0"/>
          <w:numId w:val="3"/>
        </w:numPr>
        <w:ind w:firstLineChars="0"/>
        <w:jc w:val="left"/>
        <w:rPr>
          <w:rFonts w:ascii="宋体" w:hAnsi="宋体" w:cs="宋体"/>
          <w:b/>
          <w:bCs/>
          <w:sz w:val="28"/>
        </w:rPr>
      </w:pPr>
      <w:r>
        <w:rPr>
          <w:rFonts w:hint="eastAsia" w:ascii="宋体" w:hAnsi="宋体" w:cs="宋体"/>
          <w:b/>
          <w:bCs/>
          <w:sz w:val="28"/>
        </w:rPr>
        <w:t>服务需求</w:t>
      </w:r>
    </w:p>
    <w:p>
      <w:pPr>
        <w:jc w:val="left"/>
        <w:rPr>
          <w:rFonts w:ascii="宋体" w:hAnsi="宋体" w:cs="宋体"/>
          <w:sz w:val="28"/>
        </w:rPr>
      </w:pPr>
      <w:r>
        <w:rPr>
          <w:rFonts w:hint="eastAsia" w:ascii="宋体" w:hAnsi="宋体" w:cs="宋体"/>
          <w:sz w:val="28"/>
        </w:rPr>
        <w:t>（一）总体要求</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1．护理员管理服务公司（以下简称“管理公司”）必须遵守国家法律法规和医院的相关管理制度。公司护理员和育婴师应在我院医疗管理、服务范围内为病人和产妇提供服务，接受病区管理监督，对我院提出的合理改进意见和建议予以采纳。</w:t>
      </w:r>
    </w:p>
    <w:p>
      <w:pPr>
        <w:ind w:firstLine="840" w:firstLineChars="300"/>
        <w:jc w:val="left"/>
        <w:rPr>
          <w:rFonts w:ascii="宋体" w:hAnsi="宋体" w:cs="宋体"/>
          <w:sz w:val="28"/>
        </w:rPr>
      </w:pPr>
      <w:r>
        <w:rPr>
          <w:rFonts w:hint="eastAsia" w:ascii="宋体" w:hAnsi="宋体" w:cs="宋体"/>
          <w:sz w:val="28"/>
        </w:rPr>
        <w:t>2. 管理服务公司根据需要配备具有相关经验的专职管理人员1名。</w:t>
      </w:r>
    </w:p>
    <w:p>
      <w:pPr>
        <w:ind w:firstLine="840" w:firstLineChars="300"/>
        <w:jc w:val="left"/>
        <w:rPr>
          <w:rFonts w:ascii="宋体" w:hAnsi="宋体" w:cs="宋体"/>
          <w:sz w:val="28"/>
        </w:rPr>
      </w:pPr>
      <w:r>
        <w:rPr>
          <w:rFonts w:hint="eastAsia" w:ascii="宋体" w:hAnsi="宋体" w:cs="宋体"/>
          <w:sz w:val="28"/>
        </w:rPr>
        <w:t>3. 医院有权对成交供应商的管理及服务进行监督，如成交供应商违反双方共同协商制定的服务行为规范、质量标准等，医院有权对成交供应商进行相应的处罚(详见“服务内容及考核标准”)。</w:t>
      </w:r>
    </w:p>
    <w:p>
      <w:pPr>
        <w:ind w:firstLine="840" w:firstLineChars="300"/>
        <w:jc w:val="left"/>
        <w:rPr>
          <w:rFonts w:ascii="宋体" w:hAnsi="宋体" w:cs="宋体"/>
          <w:sz w:val="28"/>
        </w:rPr>
      </w:pPr>
      <w:r>
        <w:rPr>
          <w:rFonts w:hint="eastAsia" w:ascii="宋体" w:hAnsi="宋体" w:cs="宋体"/>
          <w:sz w:val="28"/>
        </w:rPr>
        <w:t>4. 管理服务公司在医院范围内开展护理项目管理活动时，其使用的印章、标识、标牌、各种宣传资料不得以蚌埠市第二人民医院名义，不得向患者和家属做出与蚌埠市第二人民医院有隶属、代理等关系的误导宣传。</w:t>
      </w:r>
    </w:p>
    <w:p>
      <w:pPr>
        <w:ind w:firstLine="840" w:firstLineChars="300"/>
        <w:jc w:val="left"/>
        <w:rPr>
          <w:rFonts w:ascii="宋体" w:hAnsi="宋体" w:cs="宋体"/>
          <w:sz w:val="28"/>
        </w:rPr>
      </w:pPr>
      <w:r>
        <w:rPr>
          <w:rFonts w:hint="eastAsia" w:ascii="宋体" w:hAnsi="宋体" w:cs="宋体"/>
          <w:sz w:val="28"/>
        </w:rPr>
        <w:t>5、 管理服务公司保证护理员和育婴师的身体健康，不得有传染类、心理等疾病，并出具二级以上公立医院健康体检证明。工作中严格遵守规章制度，保护患者隐私。如因健康原因造成护工与患者的纠纷，由护理员管理服务公司负责。</w:t>
      </w:r>
    </w:p>
    <w:p>
      <w:pPr>
        <w:ind w:firstLine="840" w:firstLineChars="300"/>
        <w:jc w:val="left"/>
        <w:rPr>
          <w:rFonts w:ascii="宋体" w:hAnsi="宋体" w:cs="宋体"/>
          <w:sz w:val="28"/>
        </w:rPr>
      </w:pPr>
      <w:r>
        <w:rPr>
          <w:rFonts w:hint="eastAsia" w:ascii="宋体" w:hAnsi="宋体" w:cs="宋体"/>
          <w:sz w:val="28"/>
        </w:rPr>
        <w:t>6.护理员、育婴师与病人或家属发生纠纷，管理服务公司必须积极主动、妥善处理，并承担纠纷引发的一切法律责任。</w:t>
      </w:r>
    </w:p>
    <w:p>
      <w:pPr>
        <w:ind w:firstLine="840" w:firstLineChars="300"/>
        <w:jc w:val="left"/>
        <w:rPr>
          <w:rFonts w:ascii="宋体" w:hAnsi="宋体" w:cs="宋体"/>
          <w:sz w:val="28"/>
        </w:rPr>
      </w:pPr>
      <w:r>
        <w:rPr>
          <w:rFonts w:hint="eastAsia" w:ascii="宋体" w:hAnsi="宋体" w:cs="宋体"/>
          <w:sz w:val="28"/>
        </w:rPr>
        <w:t>7.护理员、育婴师人为损坏医院或病人的物品，由管理服务公司承担全部责任，并对当事人进行及时处理。</w:t>
      </w:r>
    </w:p>
    <w:p>
      <w:pPr>
        <w:ind w:firstLine="840" w:firstLineChars="300"/>
        <w:jc w:val="left"/>
        <w:rPr>
          <w:rFonts w:ascii="宋体" w:hAnsi="宋体" w:cs="宋体"/>
          <w:sz w:val="28"/>
        </w:rPr>
      </w:pPr>
      <w:r>
        <w:rPr>
          <w:rFonts w:hint="eastAsia" w:ascii="宋体" w:hAnsi="宋体" w:cs="宋体"/>
          <w:sz w:val="28"/>
        </w:rPr>
        <w:t>8.因护理员、育婴师的工作造成的病人跌伤、走失或其它严重伤害以及陪护自身的伤害、损失等，由管理服务公司承担法律责任和经济赔偿，医院不承担连带责任，且医院有权终止陪护服务协议。</w:t>
      </w:r>
    </w:p>
    <w:p>
      <w:pPr>
        <w:ind w:firstLine="840" w:firstLineChars="300"/>
        <w:jc w:val="left"/>
        <w:rPr>
          <w:rFonts w:ascii="宋体" w:hAnsi="宋体" w:cs="宋体"/>
          <w:sz w:val="28"/>
        </w:rPr>
      </w:pPr>
      <w:r>
        <w:rPr>
          <w:rFonts w:hint="eastAsia" w:ascii="宋体" w:hAnsi="宋体" w:cs="宋体"/>
          <w:sz w:val="28"/>
        </w:rPr>
        <w:t>9.管理服务公司要定期对护理员、育婴师有培训考核机制和绩效激励机制等。医院每季度对护理员管理服务公司工作质量、服务满意度等进行考核，并由科室护士长签字确认。满意度考核，</w:t>
      </w:r>
      <w:r>
        <w:rPr>
          <w:rFonts w:hint="eastAsia" w:ascii="宋体" w:hAnsi="宋体" w:cs="宋体"/>
          <w:color w:val="auto"/>
          <w:sz w:val="28"/>
        </w:rPr>
        <w:t>如患者投诉超过三次及以上者或满意度连续三月低于90%者，医院有</w:t>
      </w:r>
      <w:r>
        <w:rPr>
          <w:rFonts w:hint="eastAsia" w:ascii="宋体" w:hAnsi="宋体" w:cs="宋体"/>
          <w:sz w:val="28"/>
        </w:rPr>
        <w:t>权要求公司辞退被投诉者，且此人不得再担任我院陪护等工作。管理服务公司必须安排人员每日进行巡查，并每月一次邀请医院人员共同进行基础护理质量检查。</w:t>
      </w:r>
    </w:p>
    <w:p>
      <w:pPr>
        <w:ind w:firstLine="840" w:firstLineChars="300"/>
        <w:jc w:val="left"/>
        <w:rPr>
          <w:rFonts w:ascii="宋体" w:hAnsi="宋体" w:cs="宋体"/>
          <w:sz w:val="28"/>
        </w:rPr>
      </w:pPr>
      <w:r>
        <w:rPr>
          <w:rFonts w:hint="eastAsia" w:ascii="宋体" w:hAnsi="宋体" w:cs="宋体"/>
          <w:sz w:val="28"/>
        </w:rPr>
        <w:t>10.医院需病人或家属签署的知情同意书、材料、文件等，只能由患者本人及家属签署，管理服务公司人员无权签署并有权拒绝签署，因擅自签署引发的一切法律后果由管理服务公司自行承担。</w:t>
      </w:r>
    </w:p>
    <w:p>
      <w:pPr>
        <w:ind w:firstLine="560" w:firstLineChars="200"/>
        <w:jc w:val="left"/>
        <w:rPr>
          <w:rFonts w:ascii="宋体" w:hAnsi="宋体" w:cs="宋体"/>
          <w:sz w:val="28"/>
        </w:rPr>
      </w:pPr>
      <w:r>
        <w:rPr>
          <w:rFonts w:hint="eastAsia" w:ascii="宋体" w:hAnsi="宋体" w:cs="宋体"/>
          <w:sz w:val="28"/>
        </w:rPr>
        <w:t>11.费用</w:t>
      </w:r>
    </w:p>
    <w:p>
      <w:pPr>
        <w:ind w:firstLine="840" w:firstLineChars="300"/>
        <w:jc w:val="left"/>
        <w:rPr>
          <w:rFonts w:ascii="宋体" w:hAnsi="宋体" w:cs="宋体"/>
          <w:sz w:val="28"/>
        </w:rPr>
      </w:pPr>
      <w:r>
        <w:rPr>
          <w:rFonts w:hint="eastAsia" w:ascii="宋体" w:hAnsi="宋体" w:cs="宋体"/>
          <w:sz w:val="28"/>
        </w:rPr>
        <w:t>(1)护理员服务收费流程：由成交供应商与病员签订陪护协议并收费，成交供应商需出具正规票据。</w:t>
      </w:r>
    </w:p>
    <w:p>
      <w:pPr>
        <w:ind w:firstLine="840" w:firstLineChars="300"/>
        <w:jc w:val="left"/>
        <w:rPr>
          <w:rFonts w:ascii="宋体" w:hAnsi="宋体" w:cs="宋体"/>
          <w:sz w:val="28"/>
        </w:rPr>
      </w:pPr>
      <w:r>
        <w:rPr>
          <w:rFonts w:hint="eastAsia" w:ascii="宋体" w:hAnsi="宋体" w:cs="宋体"/>
          <w:sz w:val="28"/>
        </w:rPr>
        <w:t>(2)月子中心育婴师的管理费，按照成交供应商报价支付费用，成交供应商需出具正规票据。</w:t>
      </w:r>
    </w:p>
    <w:p>
      <w:pPr>
        <w:ind w:firstLine="840" w:firstLineChars="300"/>
        <w:jc w:val="left"/>
        <w:rPr>
          <w:rFonts w:ascii="宋体" w:hAnsi="宋体" w:cs="宋体"/>
          <w:sz w:val="28"/>
        </w:rPr>
      </w:pPr>
      <w:r>
        <w:rPr>
          <w:rFonts w:hint="eastAsia" w:ascii="宋体" w:hAnsi="宋体" w:cs="宋体"/>
          <w:sz w:val="28"/>
        </w:rPr>
        <w:t>(3)成交供应商承担：管理人员成本、人员成本、福利/奖励、工伤意外、第三方责任、风险赔偿金、税费、培训费用等全部运营成本。经营中的亏损风险由自身承担。</w:t>
      </w:r>
    </w:p>
    <w:p>
      <w:pPr>
        <w:ind w:firstLine="840" w:firstLineChars="300"/>
        <w:jc w:val="left"/>
        <w:rPr>
          <w:rFonts w:ascii="宋体" w:hAnsi="宋体" w:cs="宋体"/>
          <w:sz w:val="28"/>
        </w:rPr>
      </w:pPr>
      <w:r>
        <w:rPr>
          <w:rFonts w:hint="eastAsia" w:ascii="宋体" w:hAnsi="宋体" w:cs="宋体"/>
          <w:sz w:val="28"/>
        </w:rPr>
        <w:t xml:space="preserve"> (4)如成交供应商在经营过程中造成采购人名誉、财产损失，由成交供应商承担全部责任。采购人有权向成交供应商主张全部损失(包括但不限于诉讼费、律师费，交通费等)。</w:t>
      </w:r>
    </w:p>
    <w:p>
      <w:pPr>
        <w:jc w:val="left"/>
        <w:rPr>
          <w:rFonts w:ascii="宋体" w:hAnsi="宋体" w:cs="宋体"/>
          <w:sz w:val="28"/>
        </w:rPr>
      </w:pPr>
      <w:r>
        <w:rPr>
          <w:rFonts w:hint="eastAsia" w:ascii="宋体" w:hAnsi="宋体" w:cs="宋体"/>
          <w:sz w:val="28"/>
        </w:rPr>
        <w:t>12、护理员和育婴师的总体要求</w:t>
      </w:r>
    </w:p>
    <w:p>
      <w:pPr>
        <w:jc w:val="left"/>
        <w:rPr>
          <w:rFonts w:ascii="宋体" w:hAnsi="宋体" w:cs="宋体"/>
          <w:sz w:val="28"/>
        </w:rPr>
      </w:pPr>
      <w:r>
        <w:rPr>
          <w:rFonts w:hint="eastAsia" w:ascii="宋体" w:hAnsi="宋体" w:cs="宋体"/>
          <w:sz w:val="28"/>
        </w:rPr>
        <w:t>（一）护理员的总体要求：</w:t>
      </w:r>
    </w:p>
    <w:p>
      <w:pPr>
        <w:spacing w:line="360" w:lineRule="auto"/>
        <w:ind w:firstLine="960" w:firstLineChars="400"/>
        <w:rPr>
          <w:rFonts w:ascii="宋体" w:hAnsi="宋体" w:eastAsia="宋体" w:cs="宋体"/>
          <w:color w:val="auto"/>
          <w:sz w:val="24"/>
          <w:szCs w:val="24"/>
        </w:rPr>
      </w:pPr>
      <w:r>
        <w:rPr>
          <w:rFonts w:hint="eastAsia" w:ascii="宋体" w:hAnsi="宋体" w:eastAsia="宋体" w:cs="宋体"/>
          <w:color w:val="auto"/>
          <w:sz w:val="24"/>
          <w:szCs w:val="24"/>
        </w:rPr>
        <w:t>1. 护理人员要求：女性在55岁以内，男性在60岁以内，身体健康，无基础疾病等。且具有护理员证或护工培训证，健康证、身份证三证齐全 。护理员管理服务公司承担全部运营成本，公司与病人签订协议、收费并出具收费凭证。医院不支付任何款项和费用。</w:t>
      </w:r>
    </w:p>
    <w:p>
      <w:pPr>
        <w:spacing w:line="360" w:lineRule="auto"/>
        <w:ind w:firstLine="720" w:firstLineChars="300"/>
        <w:rPr>
          <w:rFonts w:ascii="宋体" w:hAnsi="宋体" w:eastAsia="宋体" w:cs="宋体"/>
          <w:sz w:val="24"/>
          <w:szCs w:val="24"/>
        </w:rPr>
      </w:pPr>
      <w:r>
        <w:rPr>
          <w:rFonts w:hint="eastAsia" w:ascii="宋体" w:hAnsi="宋体" w:eastAsia="宋体" w:cs="宋体"/>
          <w:color w:val="auto"/>
          <w:sz w:val="24"/>
          <w:szCs w:val="24"/>
        </w:rPr>
        <w:t>2. 管理服务公司对其在我院从事</w:t>
      </w:r>
      <w:r>
        <w:rPr>
          <w:rFonts w:hint="eastAsia" w:ascii="宋体" w:hAnsi="宋体" w:eastAsia="宋体" w:cs="宋体"/>
          <w:sz w:val="24"/>
          <w:szCs w:val="24"/>
        </w:rPr>
        <w:t>陪护服务的护理员，应统一建立档案，档案需报职能管理部门备案。管理服务公司所提供的护理员与医院没有任何劳动用工和雇佣关系，护理员的收入及工资福利由管理服务公司与护理员协商确定。 管理服务公司与护理员之间的争议纠纷与医院无关。管理服务公司需依法处理好护理员的保险及报酬，费用由公司和员工协商，护理员与蚌埠二院不发生任何人事隶属关系。</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3成交供应商须确保在接到病员和医院科室提出的用工需求后1小时内给以响应，不得推诿服务要求。</w:t>
      </w:r>
    </w:p>
    <w:p>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 管理服务公司提供生活护理服务方案、护理员工作管理制度，在医院公开护理员服务收费标准，并严格按照中标价格执行，如有价格调整，需报备医院，经医院同意，才可执行。</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5.护理员在科室病区护士长指导下开展病人日常生活照料，严禁护理员代替护士从事护理技术性操作工作。</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护理员不得做与陪护工作无关的事情，不得有干扰医疗秩序和影响医院形象的言行，不得收取病人家属或照护之外的费用，不准多收费，一经查实，按多收金额给予十倍罚款，凡造成不良后果的由管理服务公司负责，医院有权要求理服务公司更换或辞退护理员。</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w:t>
      </w:r>
      <w:r>
        <w:rPr>
          <w:rFonts w:hint="eastAsia"/>
        </w:rPr>
        <w:t xml:space="preserve"> </w:t>
      </w:r>
      <w:r>
        <w:rPr>
          <w:rFonts w:hint="eastAsia" w:ascii="宋体" w:hAnsi="宋体" w:eastAsia="宋体" w:cs="宋体"/>
          <w:sz w:val="24"/>
          <w:szCs w:val="24"/>
        </w:rPr>
        <w:t>管理服务公司严格规范员工管理，对医院提出的整改问题及时响应，立行立改，不得无故拖延。针对脱岗且电话联系半小时仍不到岗者，一次警告，两次及以上医院有权要求调换陪护人员。服从病区护士管理，不私自给患者讲解医学不专业问题等。</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8.管理服务公司、陪护人员与病区患者签定协议，要和病区护士站报备登记。</w:t>
      </w:r>
    </w:p>
    <w:p>
      <w:pPr>
        <w:spacing w:line="360" w:lineRule="auto"/>
        <w:rPr>
          <w:rFonts w:ascii="宋体" w:hAnsi="宋体" w:eastAsia="宋体" w:cs="宋体"/>
          <w:sz w:val="24"/>
          <w:szCs w:val="24"/>
        </w:rPr>
      </w:pPr>
      <w:r>
        <w:rPr>
          <w:rFonts w:ascii="宋体" w:hAnsi="宋体" w:eastAsia="宋体" w:cs="宋体"/>
          <w:sz w:val="24"/>
          <w:szCs w:val="24"/>
        </w:rPr>
        <w:t>（</w:t>
      </w:r>
      <w:r>
        <w:rPr>
          <w:rFonts w:hint="eastAsia" w:ascii="宋体" w:hAnsi="宋体" w:eastAsia="宋体" w:cs="宋体"/>
          <w:sz w:val="24"/>
          <w:szCs w:val="24"/>
        </w:rPr>
        <w:t>二</w:t>
      </w:r>
      <w:r>
        <w:rPr>
          <w:rFonts w:ascii="宋体" w:hAnsi="宋体" w:eastAsia="宋体" w:cs="宋体"/>
          <w:sz w:val="24"/>
          <w:szCs w:val="24"/>
        </w:rPr>
        <w:t>）育婴师的总体要求</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1.女性，35-55岁以内，身体健康，无基础疾病等，且具有育婴师培训证，健康证、身份证，三证齐全 。</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2.薪资按岗位支付;一对一岗位工作实行24小时制。</w:t>
      </w:r>
    </w:p>
    <w:p>
      <w:pPr>
        <w:spacing w:line="360" w:lineRule="auto"/>
        <w:ind w:firstLine="480" w:firstLineChars="200"/>
        <w:rPr>
          <w:rFonts w:ascii="宋体" w:hAnsi="宋体" w:eastAsia="宋体" w:cs="宋体"/>
          <w:color w:val="auto"/>
          <w:sz w:val="24"/>
          <w:szCs w:val="24"/>
        </w:rPr>
      </w:pPr>
      <w:r>
        <w:rPr>
          <w:rFonts w:hint="eastAsia" w:ascii="宋体" w:hAnsi="宋体" w:eastAsia="宋体" w:cs="宋体"/>
          <w:sz w:val="24"/>
          <w:szCs w:val="24"/>
        </w:rPr>
        <w:t>3.一对一岗位工资报酬不低于5500/月（免费提供食宿）。</w:t>
      </w:r>
      <w:r>
        <w:rPr>
          <w:rFonts w:hint="eastAsia" w:ascii="宋体" w:hAnsi="宋体" w:eastAsia="宋体" w:cs="宋体"/>
          <w:color w:val="auto"/>
          <w:sz w:val="24"/>
          <w:szCs w:val="24"/>
        </w:rPr>
        <w:t>医院使用科室每月对育婴师进行考核，工资由中标的管理服务公司代发。</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rPr>
        <w:t>4.管理服务公司收取医院的管理服务费</w:t>
      </w:r>
      <w:r>
        <w:rPr>
          <w:rFonts w:hint="eastAsia" w:ascii="宋体" w:hAnsi="宋体" w:eastAsia="宋体" w:cs="宋体"/>
          <w:color w:val="auto"/>
          <w:sz w:val="24"/>
          <w:szCs w:val="24"/>
          <w:highlight w:val="none"/>
        </w:rPr>
        <w:t>最高限价300元/产妇人次，最终以中标价为准。育婴师的工资按实际工作日计算和管理服务费医院按月支付管理服务公司。</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5.医院支付给育婴师的劳务费用，管理服务公司应作为工资全额支付给育婴师。</w:t>
      </w:r>
    </w:p>
    <w:p>
      <w:pPr>
        <w:jc w:val="left"/>
        <w:rPr>
          <w:rFonts w:ascii="宋体" w:hAnsi="宋体" w:cs="宋体"/>
          <w:sz w:val="28"/>
          <w:highlight w:val="none"/>
        </w:rPr>
      </w:pPr>
      <w:r>
        <w:rPr>
          <w:rFonts w:hint="eastAsia" w:ascii="宋体" w:hAnsi="宋体" w:cs="宋体"/>
          <w:sz w:val="28"/>
          <w:highlight w:val="none"/>
        </w:rPr>
        <w:t>三、护理员服务限价</w:t>
      </w:r>
    </w:p>
    <w:tbl>
      <w:tblPr>
        <w:tblStyle w:val="37"/>
        <w:tblW w:w="520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28"/>
        <w:gridCol w:w="1254"/>
        <w:gridCol w:w="2014"/>
        <w:gridCol w:w="33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3"/>
                <w:kern w:val="0"/>
                <w:sz w:val="24"/>
                <w:szCs w:val="24"/>
                <w:highlight w:val="none"/>
              </w:rPr>
              <w:t>项目</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8"/>
                <w:kern w:val="0"/>
                <w:sz w:val="24"/>
                <w:szCs w:val="24"/>
                <w:highlight w:val="none"/>
              </w:rPr>
              <w:t>护理时间</w:t>
            </w:r>
          </w:p>
        </w:tc>
        <w:tc>
          <w:tcPr>
            <w:tcW w:w="1164" w:type="pct"/>
            <w:vAlign w:val="center"/>
          </w:tcPr>
          <w:p>
            <w:pPr>
              <w:widowControl/>
              <w:kinsoku w:val="0"/>
              <w:autoSpaceDE w:val="0"/>
              <w:autoSpaceDN w:val="0"/>
              <w:adjustRightInd w:val="0"/>
              <w:snapToGrid w:val="0"/>
              <w:spacing w:line="360" w:lineRule="auto"/>
              <w:jc w:val="center"/>
              <w:textAlignment w:val="baseline"/>
              <w:rPr>
                <w:rFonts w:hint="default" w:ascii="宋体" w:hAnsi="宋体" w:eastAsia="宋体" w:cs="宋体"/>
                <w:snapToGrid w:val="0"/>
                <w:kern w:val="0"/>
                <w:sz w:val="24"/>
                <w:szCs w:val="24"/>
                <w:highlight w:val="none"/>
                <w:lang w:val="en-US" w:eastAsia="zh-CN"/>
              </w:rPr>
            </w:pPr>
            <w:r>
              <w:rPr>
                <w:rFonts w:hint="eastAsia" w:ascii="宋体" w:hAnsi="宋体" w:eastAsia="宋体" w:cs="宋体"/>
                <w:snapToGrid w:val="0"/>
                <w:kern w:val="0"/>
                <w:sz w:val="24"/>
                <w:szCs w:val="24"/>
                <w:highlight w:val="none"/>
                <w:lang w:val="en-US" w:eastAsia="zh-CN"/>
              </w:rPr>
              <w:t>最高限价</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4"/>
                <w:kern w:val="0"/>
                <w:sz w:val="24"/>
                <w:szCs w:val="24"/>
                <w:highlight w:val="none"/>
              </w:rPr>
              <w:t>备</w:t>
            </w:r>
            <w:r>
              <w:rPr>
                <w:rFonts w:hint="eastAsia" w:ascii="宋体" w:hAnsi="宋体" w:eastAsia="宋体" w:cs="宋体"/>
                <w:snapToGrid w:val="0"/>
                <w:spacing w:val="3"/>
                <w:kern w:val="0"/>
                <w:sz w:val="24"/>
                <w:szCs w:val="24"/>
                <w:highlight w:val="no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7"/>
                <w:kern w:val="0"/>
                <w:sz w:val="24"/>
                <w:szCs w:val="24"/>
                <w:highlight w:val="none"/>
              </w:rPr>
              <w:t>一</w:t>
            </w:r>
            <w:r>
              <w:rPr>
                <w:rFonts w:hint="eastAsia" w:ascii="宋体" w:hAnsi="宋体" w:eastAsia="宋体" w:cs="宋体"/>
                <w:snapToGrid w:val="0"/>
                <w:spacing w:val="6"/>
                <w:kern w:val="0"/>
                <w:sz w:val="24"/>
                <w:szCs w:val="24"/>
                <w:highlight w:val="none"/>
              </w:rPr>
              <w:t>对一</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10"/>
                <w:kern w:val="0"/>
                <w:sz w:val="24"/>
                <w:szCs w:val="24"/>
                <w:highlight w:val="none"/>
              </w:rPr>
              <w:t>2</w:t>
            </w:r>
            <w:r>
              <w:rPr>
                <w:rFonts w:hint="eastAsia" w:ascii="宋体" w:hAnsi="宋体" w:eastAsia="宋体" w:cs="宋体"/>
                <w:snapToGrid w:val="0"/>
                <w:spacing w:val="-7"/>
                <w:kern w:val="0"/>
                <w:sz w:val="24"/>
                <w:szCs w:val="24"/>
                <w:highlight w:val="none"/>
              </w:rPr>
              <w:t>4小时</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spacing w:val="-11"/>
                <w:kern w:val="0"/>
                <w:sz w:val="24"/>
                <w:szCs w:val="24"/>
                <w:highlight w:val="none"/>
              </w:rPr>
              <w:t>260元/人</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2"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一</w:t>
            </w:r>
            <w:r>
              <w:rPr>
                <w:rFonts w:hint="eastAsia" w:ascii="宋体" w:hAnsi="宋体" w:eastAsia="宋体" w:cs="宋体"/>
                <w:snapToGrid w:val="0"/>
                <w:spacing w:val="5"/>
                <w:kern w:val="0"/>
                <w:sz w:val="24"/>
                <w:szCs w:val="24"/>
              </w:rPr>
              <w:t>对多</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0"/>
                <w:kern w:val="0"/>
                <w:sz w:val="24"/>
                <w:szCs w:val="24"/>
              </w:rPr>
              <w:t>2</w:t>
            </w:r>
            <w:r>
              <w:rPr>
                <w:rFonts w:hint="eastAsia" w:ascii="宋体" w:hAnsi="宋体" w:eastAsia="宋体" w:cs="宋体"/>
                <w:snapToGrid w:val="0"/>
                <w:spacing w:val="-7"/>
                <w:kern w:val="0"/>
                <w:sz w:val="24"/>
                <w:szCs w:val="24"/>
              </w:rPr>
              <w:t>4小时</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
                <w:kern w:val="0"/>
                <w:sz w:val="24"/>
                <w:szCs w:val="24"/>
              </w:rPr>
              <w:t>一级：1</w:t>
            </w:r>
            <w:r>
              <w:rPr>
                <w:rFonts w:hint="eastAsia" w:ascii="宋体" w:hAnsi="宋体" w:eastAsia="宋体" w:cs="宋体"/>
                <w:snapToGrid w:val="0"/>
                <w:spacing w:val="-1"/>
                <w:kern w:val="0"/>
                <w:sz w:val="24"/>
                <w:szCs w:val="24"/>
              </w:rPr>
              <w:t>30元/人</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4"/>
                <w:kern w:val="0"/>
                <w:sz w:val="24"/>
                <w:szCs w:val="24"/>
              </w:rPr>
              <w:t>二</w:t>
            </w:r>
            <w:r>
              <w:rPr>
                <w:rFonts w:hint="eastAsia" w:ascii="宋体" w:hAnsi="宋体" w:eastAsia="宋体" w:cs="宋体"/>
                <w:snapToGrid w:val="0"/>
                <w:spacing w:val="-3"/>
                <w:kern w:val="0"/>
                <w:sz w:val="24"/>
                <w:szCs w:val="24"/>
              </w:rPr>
              <w:t>级</w:t>
            </w:r>
            <w:r>
              <w:rPr>
                <w:rFonts w:hint="eastAsia" w:ascii="宋体" w:hAnsi="宋体" w:eastAsia="宋体" w:cs="宋体"/>
                <w:snapToGrid w:val="0"/>
                <w:spacing w:val="-2"/>
                <w:kern w:val="0"/>
                <w:sz w:val="24"/>
                <w:szCs w:val="24"/>
              </w:rPr>
              <w:t>：90</w:t>
            </w:r>
            <w:r>
              <w:rPr>
                <w:rFonts w:hint="eastAsia" w:ascii="宋体" w:hAnsi="宋体" w:eastAsia="宋体" w:cs="宋体"/>
                <w:snapToGrid w:val="0"/>
                <w:spacing w:val="-1"/>
                <w:kern w:val="0"/>
                <w:sz w:val="24"/>
                <w:szCs w:val="24"/>
              </w:rPr>
              <w:t>元/人</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
                <w:kern w:val="0"/>
                <w:sz w:val="24"/>
                <w:szCs w:val="24"/>
              </w:rPr>
              <w:t>三级：50</w:t>
            </w:r>
            <w:r>
              <w:rPr>
                <w:rFonts w:hint="eastAsia" w:ascii="宋体" w:hAnsi="宋体" w:eastAsia="宋体" w:cs="宋体"/>
                <w:snapToGrid w:val="0"/>
                <w:spacing w:val="-1"/>
                <w:kern w:val="0"/>
                <w:sz w:val="24"/>
                <w:szCs w:val="24"/>
              </w:rPr>
              <w:t>元/人</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position w:val="1"/>
                <w:sz w:val="24"/>
                <w:szCs w:val="24"/>
              </w:rPr>
              <w:t>一</w:t>
            </w:r>
            <w:r>
              <w:rPr>
                <w:rFonts w:hint="eastAsia" w:ascii="宋体" w:hAnsi="宋体" w:eastAsia="宋体" w:cs="宋体"/>
                <w:snapToGrid w:val="0"/>
                <w:spacing w:val="4"/>
                <w:kern w:val="0"/>
                <w:position w:val="1"/>
                <w:sz w:val="24"/>
                <w:szCs w:val="24"/>
              </w:rPr>
              <w:t>级</w:t>
            </w:r>
            <w:r>
              <w:rPr>
                <w:rFonts w:hint="eastAsia" w:ascii="宋体" w:hAnsi="宋体" w:eastAsia="宋体" w:cs="宋体"/>
                <w:snapToGrid w:val="0"/>
                <w:spacing w:val="3"/>
                <w:kern w:val="0"/>
                <w:position w:val="1"/>
                <w:sz w:val="24"/>
                <w:szCs w:val="24"/>
              </w:rPr>
              <w:t>陪护不得高于1：3</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二</w:t>
            </w:r>
            <w:r>
              <w:rPr>
                <w:rFonts w:hint="eastAsia" w:ascii="宋体" w:hAnsi="宋体" w:eastAsia="宋体" w:cs="宋体"/>
                <w:snapToGrid w:val="0"/>
                <w:spacing w:val="4"/>
                <w:kern w:val="0"/>
                <w:sz w:val="24"/>
                <w:szCs w:val="24"/>
              </w:rPr>
              <w:t>级</w:t>
            </w:r>
            <w:r>
              <w:rPr>
                <w:rFonts w:hint="eastAsia" w:ascii="宋体" w:hAnsi="宋体" w:eastAsia="宋体" w:cs="宋体"/>
                <w:snapToGrid w:val="0"/>
                <w:spacing w:val="3"/>
                <w:kern w:val="0"/>
                <w:sz w:val="24"/>
                <w:szCs w:val="24"/>
              </w:rPr>
              <w:t>陪护不得高于1：5</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三</w:t>
            </w:r>
            <w:r>
              <w:rPr>
                <w:rFonts w:hint="eastAsia" w:ascii="宋体" w:hAnsi="宋体" w:eastAsia="宋体" w:cs="宋体"/>
                <w:snapToGrid w:val="0"/>
                <w:spacing w:val="4"/>
                <w:kern w:val="0"/>
                <w:sz w:val="24"/>
                <w:szCs w:val="24"/>
              </w:rPr>
              <w:t>级</w:t>
            </w:r>
            <w:r>
              <w:rPr>
                <w:rFonts w:hint="eastAsia" w:ascii="宋体" w:hAnsi="宋体" w:eastAsia="宋体" w:cs="宋体"/>
                <w:snapToGrid w:val="0"/>
                <w:spacing w:val="3"/>
                <w:kern w:val="0"/>
                <w:sz w:val="24"/>
                <w:szCs w:val="24"/>
              </w:rPr>
              <w:t>陪护不得高于1：8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Merge w:val="restart"/>
            <w:tcBorders>
              <w:bottom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spacing w:val="7"/>
                <w:kern w:val="0"/>
                <w:sz w:val="24"/>
                <w:szCs w:val="24"/>
              </w:rPr>
            </w:pPr>
            <w:r>
              <w:rPr>
                <w:rFonts w:hint="eastAsia" w:ascii="宋体" w:hAnsi="宋体" w:eastAsia="宋体" w:cs="宋体"/>
                <w:snapToGrid w:val="0"/>
                <w:spacing w:val="9"/>
                <w:kern w:val="0"/>
                <w:sz w:val="24"/>
                <w:szCs w:val="24"/>
              </w:rPr>
              <w:t>母</w:t>
            </w:r>
            <w:r>
              <w:rPr>
                <w:rFonts w:hint="eastAsia" w:ascii="宋体" w:hAnsi="宋体" w:eastAsia="宋体" w:cs="宋体"/>
                <w:snapToGrid w:val="0"/>
                <w:spacing w:val="7"/>
                <w:kern w:val="0"/>
                <w:sz w:val="24"/>
                <w:szCs w:val="24"/>
              </w:rPr>
              <w:t>婴护理</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spacing w:val="7"/>
                <w:kern w:val="0"/>
                <w:sz w:val="24"/>
                <w:szCs w:val="24"/>
              </w:rPr>
            </w:pPr>
            <w:r>
              <w:rPr>
                <w:rFonts w:hint="eastAsia" w:ascii="宋体" w:hAnsi="宋体" w:eastAsia="宋体" w:cs="宋体"/>
                <w:snapToGrid w:val="0"/>
                <w:spacing w:val="7"/>
                <w:kern w:val="0"/>
                <w:sz w:val="24"/>
                <w:szCs w:val="24"/>
              </w:rPr>
              <w:t>（生产住院期间）</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3"/>
                <w:kern w:val="0"/>
                <w:sz w:val="24"/>
                <w:szCs w:val="24"/>
              </w:rPr>
              <w:t>自</w:t>
            </w:r>
            <w:r>
              <w:rPr>
                <w:rFonts w:hint="eastAsia" w:ascii="宋体" w:hAnsi="宋体" w:eastAsia="宋体" w:cs="宋体"/>
                <w:snapToGrid w:val="0"/>
                <w:spacing w:val="-2"/>
                <w:kern w:val="0"/>
                <w:sz w:val="24"/>
                <w:szCs w:val="24"/>
              </w:rPr>
              <w:t>然分娩</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
                <w:kern w:val="0"/>
                <w:sz w:val="24"/>
                <w:szCs w:val="24"/>
              </w:rPr>
              <w:t>480元/</w:t>
            </w:r>
            <w:r>
              <w:rPr>
                <w:rFonts w:hint="eastAsia" w:ascii="宋体" w:hAnsi="宋体" w:eastAsia="宋体" w:cs="宋体"/>
                <w:snapToGrid w:val="0"/>
                <w:spacing w:val="-1"/>
                <w:kern w:val="0"/>
                <w:sz w:val="24"/>
                <w:szCs w:val="24"/>
              </w:rPr>
              <w:t>周期</w:t>
            </w:r>
          </w:p>
        </w:tc>
        <w:tc>
          <w:tcPr>
            <w:tcW w:w="1937" w:type="pct"/>
            <w:vMerge w:val="restart"/>
            <w:tcBorders>
              <w:bottom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4"/>
                <w:kern w:val="0"/>
                <w:sz w:val="24"/>
                <w:szCs w:val="24"/>
              </w:rPr>
              <w:t>多</w:t>
            </w:r>
            <w:r>
              <w:rPr>
                <w:rFonts w:hint="eastAsia" w:ascii="宋体" w:hAnsi="宋体" w:eastAsia="宋体" w:cs="宋体"/>
                <w:snapToGrid w:val="0"/>
                <w:spacing w:val="3"/>
                <w:kern w:val="0"/>
                <w:sz w:val="24"/>
                <w:szCs w:val="24"/>
              </w:rPr>
              <w:t>胞</w:t>
            </w:r>
            <w:r>
              <w:rPr>
                <w:rFonts w:hint="eastAsia" w:ascii="宋体" w:hAnsi="宋体" w:eastAsia="宋体" w:cs="宋体"/>
                <w:snapToGrid w:val="0"/>
                <w:spacing w:val="2"/>
                <w:kern w:val="0"/>
                <w:sz w:val="24"/>
                <w:szCs w:val="24"/>
              </w:rPr>
              <w:t>胎需增加服务费50%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1172" w:type="pct"/>
            <w:vMerge w:val="continue"/>
            <w:tcBorders>
              <w:top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8"/>
                <w:kern w:val="0"/>
                <w:sz w:val="24"/>
                <w:szCs w:val="24"/>
              </w:rPr>
              <w:t>剖</w:t>
            </w:r>
            <w:r>
              <w:rPr>
                <w:rFonts w:hint="eastAsia" w:ascii="宋体" w:hAnsi="宋体" w:eastAsia="宋体" w:cs="宋体"/>
                <w:snapToGrid w:val="0"/>
                <w:spacing w:val="7"/>
                <w:kern w:val="0"/>
                <w:sz w:val="24"/>
                <w:szCs w:val="24"/>
              </w:rPr>
              <w:t>宫分娩</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3"/>
                <w:kern w:val="0"/>
                <w:sz w:val="24"/>
                <w:szCs w:val="24"/>
              </w:rPr>
              <w:t>6</w:t>
            </w:r>
            <w:r>
              <w:rPr>
                <w:rFonts w:hint="eastAsia" w:ascii="宋体" w:hAnsi="宋体" w:eastAsia="宋体" w:cs="宋体"/>
                <w:snapToGrid w:val="0"/>
                <w:spacing w:val="-2"/>
                <w:kern w:val="0"/>
                <w:sz w:val="24"/>
                <w:szCs w:val="24"/>
              </w:rPr>
              <w:t>80元/周期</w:t>
            </w:r>
          </w:p>
        </w:tc>
        <w:tc>
          <w:tcPr>
            <w:tcW w:w="1937" w:type="pct"/>
            <w:vMerge w:val="continue"/>
            <w:tcBorders>
              <w:top w:val="nil"/>
            </w:tcBorders>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1172"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spacing w:val="13"/>
                <w:kern w:val="0"/>
                <w:position w:val="17"/>
                <w:sz w:val="24"/>
                <w:szCs w:val="24"/>
              </w:rPr>
            </w:pPr>
            <w:r>
              <w:rPr>
                <w:rFonts w:hint="eastAsia" w:ascii="宋体" w:hAnsi="宋体" w:eastAsia="宋体" w:cs="宋体"/>
                <w:snapToGrid w:val="0"/>
                <w:spacing w:val="13"/>
                <w:kern w:val="0"/>
                <w:position w:val="17"/>
                <w:sz w:val="24"/>
                <w:szCs w:val="24"/>
              </w:rPr>
              <w:t>终末服务</w:t>
            </w:r>
          </w:p>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4"/>
                <w:kern w:val="0"/>
                <w:sz w:val="24"/>
                <w:szCs w:val="24"/>
              </w:rPr>
              <w:t>尸体料理</w:t>
            </w:r>
          </w:p>
        </w:tc>
        <w:tc>
          <w:tcPr>
            <w:tcW w:w="725"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2"/>
                <w:kern w:val="0"/>
                <w:sz w:val="24"/>
                <w:szCs w:val="24"/>
              </w:rPr>
              <w:t>1</w:t>
            </w:r>
            <w:r>
              <w:rPr>
                <w:rFonts w:hint="eastAsia" w:ascii="宋体" w:hAnsi="宋体" w:eastAsia="宋体" w:cs="宋体"/>
                <w:snapToGrid w:val="0"/>
                <w:spacing w:val="-20"/>
                <w:kern w:val="0"/>
                <w:sz w:val="24"/>
                <w:szCs w:val="24"/>
              </w:rPr>
              <w:t>次</w:t>
            </w:r>
          </w:p>
        </w:tc>
        <w:tc>
          <w:tcPr>
            <w:tcW w:w="1164"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sz w:val="24"/>
                <w:szCs w:val="24"/>
              </w:rPr>
              <w:t>6</w:t>
            </w:r>
            <w:r>
              <w:rPr>
                <w:rFonts w:hint="eastAsia" w:ascii="宋体" w:hAnsi="宋体" w:eastAsia="宋体" w:cs="宋体"/>
                <w:snapToGrid w:val="0"/>
                <w:spacing w:val="-8"/>
                <w:kern w:val="0"/>
                <w:sz w:val="24"/>
                <w:szCs w:val="24"/>
              </w:rPr>
              <w:t>00元</w:t>
            </w:r>
          </w:p>
        </w:tc>
        <w:tc>
          <w:tcPr>
            <w:tcW w:w="1937" w:type="pct"/>
            <w:vAlign w:val="center"/>
          </w:tcPr>
          <w:p>
            <w:pPr>
              <w:widowControl/>
              <w:kinsoku w:val="0"/>
              <w:autoSpaceDE w:val="0"/>
              <w:autoSpaceDN w:val="0"/>
              <w:adjustRightInd w:val="0"/>
              <w:snapToGrid w:val="0"/>
              <w:spacing w:line="360" w:lineRule="auto"/>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1"/>
                <w:kern w:val="0"/>
                <w:sz w:val="24"/>
                <w:szCs w:val="24"/>
              </w:rPr>
              <w:t>包</w:t>
            </w:r>
            <w:r>
              <w:rPr>
                <w:rFonts w:hint="eastAsia" w:ascii="宋体" w:hAnsi="宋体" w:eastAsia="宋体" w:cs="宋体"/>
                <w:snapToGrid w:val="0"/>
                <w:spacing w:val="9"/>
                <w:kern w:val="0"/>
                <w:sz w:val="24"/>
                <w:szCs w:val="24"/>
              </w:rPr>
              <w:t>括擦洗、穿衣、包裹覆盖</w:t>
            </w:r>
          </w:p>
        </w:tc>
      </w:tr>
    </w:tbl>
    <w:p>
      <w:pPr>
        <w:jc w:val="left"/>
        <w:rPr>
          <w:rFonts w:ascii="宋体" w:hAnsi="宋体" w:eastAsia="宋体" w:cs="宋体"/>
          <w:sz w:val="24"/>
          <w:szCs w:val="24"/>
        </w:rPr>
      </w:pPr>
      <w:r>
        <w:rPr>
          <w:rFonts w:hint="eastAsia" w:ascii="宋体" w:hAnsi="宋体" w:eastAsia="宋体" w:cs="宋体"/>
          <w:sz w:val="24"/>
          <w:szCs w:val="24"/>
        </w:rPr>
        <w:t>备注：</w:t>
      </w:r>
    </w:p>
    <w:p>
      <w:pPr>
        <w:spacing w:line="360" w:lineRule="auto"/>
        <w:rPr>
          <w:rFonts w:ascii="宋体" w:hAnsi="宋体" w:eastAsia="宋体" w:cs="宋体"/>
          <w:sz w:val="24"/>
          <w:szCs w:val="24"/>
        </w:rPr>
      </w:pPr>
      <w:r>
        <w:rPr>
          <w:rFonts w:hint="eastAsia" w:ascii="宋体" w:hAnsi="宋体" w:eastAsia="宋体" w:cs="宋体"/>
          <w:sz w:val="24"/>
          <w:szCs w:val="24"/>
        </w:rPr>
        <w:t>①一对多的服务形式，有时间和服务内容限制，要在服务合理数量病人时，保证在达成协议的时间内完成服务项目，并达到标准。</w:t>
      </w:r>
    </w:p>
    <w:p>
      <w:pPr>
        <w:spacing w:line="360" w:lineRule="auto"/>
        <w:rPr>
          <w:rFonts w:ascii="宋体" w:hAnsi="宋体" w:eastAsia="宋体" w:cs="宋体"/>
          <w:sz w:val="24"/>
          <w:szCs w:val="24"/>
        </w:rPr>
      </w:pPr>
      <w:r>
        <w:rPr>
          <w:rFonts w:hint="eastAsia" w:ascii="宋体" w:hAnsi="宋体" w:eastAsia="宋体" w:cs="宋体"/>
          <w:sz w:val="24"/>
          <w:szCs w:val="24"/>
        </w:rPr>
        <w:t>②不得擅自抬高服务价格。</w:t>
      </w:r>
    </w:p>
    <w:p>
      <w:pPr>
        <w:spacing w:line="360" w:lineRule="auto"/>
        <w:rPr>
          <w:rFonts w:ascii="宋体" w:hAnsi="宋体" w:eastAsia="宋体" w:cs="宋体"/>
          <w:sz w:val="24"/>
          <w:szCs w:val="24"/>
        </w:rPr>
      </w:pPr>
      <w:r>
        <w:rPr>
          <w:rFonts w:hint="eastAsia" w:ascii="宋体" w:hAnsi="宋体" w:eastAsia="宋体" w:cs="宋体"/>
          <w:sz w:val="24"/>
          <w:szCs w:val="24"/>
        </w:rPr>
        <w:t>③除已约定的服务项目外，本项目服务期间新增加的服务项目收费标准最高限价由采购人与成交供应商根据市场价格共同商定。</w:t>
      </w:r>
    </w:p>
    <w:p>
      <w:pPr>
        <w:spacing w:line="360" w:lineRule="auto"/>
        <w:rPr>
          <w:rFonts w:ascii="宋体" w:hAnsi="宋体" w:eastAsia="宋体" w:cs="宋体"/>
          <w:sz w:val="24"/>
          <w:szCs w:val="24"/>
        </w:rPr>
      </w:pPr>
      <w:r>
        <w:rPr>
          <w:rFonts w:hint="eastAsia" w:ascii="宋体" w:hAnsi="宋体" w:eastAsia="宋体" w:cs="宋体"/>
          <w:spacing w:val="-2"/>
          <w:sz w:val="24"/>
          <w:szCs w:val="24"/>
        </w:rPr>
        <w:t>附表：</w:t>
      </w:r>
      <w:r>
        <w:rPr>
          <w:rFonts w:hint="eastAsia" w:ascii="宋体" w:hAnsi="宋体" w:eastAsia="宋体" w:cs="宋体"/>
          <w:spacing w:val="-1"/>
          <w:sz w:val="24"/>
          <w:szCs w:val="24"/>
        </w:rPr>
        <w:t>拟实行的阶梯收费等级表</w:t>
      </w:r>
    </w:p>
    <w:tbl>
      <w:tblPr>
        <w:tblStyle w:val="37"/>
        <w:tblpPr w:leftFromText="180" w:rightFromText="180" w:vertAnchor="text" w:horzAnchor="page" w:tblpXSpec="center" w:tblpY="227"/>
        <w:tblOverlap w:val="never"/>
        <w:tblW w:w="8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80"/>
        <w:gridCol w:w="1290"/>
        <w:gridCol w:w="4304"/>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4" w:hRule="atLeast"/>
          <w:jc w:val="center"/>
        </w:trPr>
        <w:tc>
          <w:tcPr>
            <w:tcW w:w="1180" w:type="dxa"/>
            <w:vAlign w:val="center"/>
          </w:tcPr>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sz w:val="24"/>
                <w:szCs w:val="24"/>
              </w:rPr>
              <w:t>服</w:t>
            </w:r>
            <w:r>
              <w:rPr>
                <w:rFonts w:hint="eastAsia" w:ascii="宋体" w:hAnsi="宋体" w:eastAsia="宋体" w:cs="宋体"/>
                <w:snapToGrid w:val="0"/>
                <w:spacing w:val="7"/>
                <w:kern w:val="0"/>
                <w:sz w:val="24"/>
                <w:szCs w:val="24"/>
              </w:rPr>
              <w:t>务等级</w:t>
            </w:r>
          </w:p>
        </w:tc>
        <w:tc>
          <w:tcPr>
            <w:tcW w:w="1290" w:type="dxa"/>
            <w:vAlign w:val="center"/>
          </w:tcPr>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7"/>
                <w:kern w:val="0"/>
                <w:sz w:val="24"/>
                <w:szCs w:val="24"/>
              </w:rPr>
              <w:t>收</w:t>
            </w:r>
            <w:r>
              <w:rPr>
                <w:rFonts w:hint="eastAsia" w:ascii="宋体" w:hAnsi="宋体" w:eastAsia="宋体" w:cs="宋体"/>
                <w:snapToGrid w:val="0"/>
                <w:spacing w:val="5"/>
                <w:kern w:val="0"/>
                <w:sz w:val="24"/>
                <w:szCs w:val="24"/>
              </w:rPr>
              <w:t>费标准</w:t>
            </w: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sz w:val="24"/>
                <w:szCs w:val="24"/>
              </w:rPr>
              <w:t>服</w:t>
            </w:r>
            <w:r>
              <w:rPr>
                <w:rFonts w:hint="eastAsia" w:ascii="宋体" w:hAnsi="宋体" w:eastAsia="宋体" w:cs="宋体"/>
                <w:snapToGrid w:val="0"/>
                <w:spacing w:val="7"/>
                <w:kern w:val="0"/>
                <w:sz w:val="24"/>
                <w:szCs w:val="24"/>
              </w:rPr>
              <w:t>务内容</w:t>
            </w:r>
          </w:p>
        </w:tc>
        <w:tc>
          <w:tcPr>
            <w:tcW w:w="1790"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4"/>
                <w:kern w:val="0"/>
                <w:sz w:val="24"/>
                <w:szCs w:val="24"/>
              </w:rPr>
              <w:t>备</w:t>
            </w:r>
            <w:r>
              <w:rPr>
                <w:rFonts w:hint="eastAsia" w:ascii="宋体" w:hAnsi="宋体" w:eastAsia="宋体" w:cs="宋体"/>
                <w:snapToGrid w:val="0"/>
                <w:spacing w:val="3"/>
                <w:kern w:val="0"/>
                <w:sz w:val="24"/>
                <w:szCs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1180" w:type="dxa"/>
            <w:vAlign w:val="center"/>
          </w:tcPr>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8"/>
                <w:kern w:val="0"/>
                <w:sz w:val="24"/>
                <w:szCs w:val="24"/>
              </w:rPr>
              <w:t>一对一</w:t>
            </w:r>
          </w:p>
        </w:tc>
        <w:tc>
          <w:tcPr>
            <w:tcW w:w="1290" w:type="dxa"/>
            <w:vAlign w:val="center"/>
          </w:tcPr>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260元/人</w:t>
            </w:r>
            <w:r>
              <w:rPr>
                <w:rFonts w:hint="eastAsia" w:ascii="宋体" w:hAnsi="宋体" w:eastAsia="宋体" w:cs="宋体"/>
                <w:snapToGrid w:val="0"/>
                <w:spacing w:val="3"/>
                <w:kern w:val="0"/>
                <w:sz w:val="24"/>
                <w:szCs w:val="24"/>
              </w:rPr>
              <w:t>/</w:t>
            </w: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1"/>
                <w:kern w:val="0"/>
                <w:sz w:val="24"/>
                <w:szCs w:val="24"/>
              </w:rPr>
              <w:t>按</w:t>
            </w:r>
            <w:r>
              <w:rPr>
                <w:rFonts w:hint="eastAsia" w:ascii="宋体" w:hAnsi="宋体" w:eastAsia="宋体" w:cs="宋体"/>
                <w:snapToGrid w:val="0"/>
                <w:spacing w:val="9"/>
                <w:kern w:val="0"/>
                <w:sz w:val="24"/>
                <w:szCs w:val="24"/>
              </w:rPr>
              <w:t>病患需求，随时提供生活服务</w:t>
            </w:r>
          </w:p>
        </w:tc>
        <w:tc>
          <w:tcPr>
            <w:tcW w:w="1790"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118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32"/>
                <w:kern w:val="0"/>
                <w:sz w:val="24"/>
                <w:szCs w:val="24"/>
              </w:rPr>
              <w:t>Ⅰ级</w:t>
            </w:r>
          </w:p>
        </w:tc>
        <w:tc>
          <w:tcPr>
            <w:tcW w:w="12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kern w:val="0"/>
                <w:sz w:val="24"/>
                <w:szCs w:val="24"/>
              </w:rPr>
              <mc:AlternateContent>
                <mc:Choice Requires="wps">
                  <w:drawing>
                    <wp:anchor distT="0" distB="0" distL="114300" distR="114300" simplePos="0" relativeHeight="251659264" behindDoc="0" locked="0" layoutInCell="1" allowOverlap="1">
                      <wp:simplePos x="0" y="0"/>
                      <wp:positionH relativeFrom="page">
                        <wp:posOffset>2041525</wp:posOffset>
                      </wp:positionH>
                      <wp:positionV relativeFrom="page">
                        <wp:posOffset>1701165</wp:posOffset>
                      </wp:positionV>
                      <wp:extent cx="248920" cy="206375"/>
                      <wp:effectExtent l="0" t="0" r="0" b="0"/>
                      <wp:wrapNone/>
                      <wp:docPr id="7" name="文本框 7"/>
                      <wp:cNvGraphicFramePr/>
                      <a:graphic xmlns:a="http://schemas.openxmlformats.org/drawingml/2006/main">
                        <a:graphicData uri="http://schemas.microsoft.com/office/word/2010/wordprocessingShape">
                          <wps:wsp>
                            <wps:cNvSpPr txBox="1"/>
                            <wps:spPr>
                              <a:xfrm>
                                <a:off x="0" y="0"/>
                                <a:ext cx="248920" cy="206375"/>
                              </a:xfrm>
                              <a:prstGeom prst="rect">
                                <a:avLst/>
                              </a:prstGeom>
                              <a:noFill/>
                              <a:ln>
                                <a:noFill/>
                              </a:ln>
                              <a:effectLst/>
                            </wps:spPr>
                            <wps:txbx>
                              <w:txbxContent>
                                <w:p>
                                  <w:pPr>
                                    <w:widowControl/>
                                    <w:kinsoku w:val="0"/>
                                    <w:autoSpaceDE w:val="0"/>
                                    <w:autoSpaceDN w:val="0"/>
                                    <w:adjustRightInd w:val="0"/>
                                    <w:snapToGrid w:val="0"/>
                                    <w:spacing w:before="20" w:line="228" w:lineRule="auto"/>
                                    <w:ind w:left="20"/>
                                    <w:jc w:val="left"/>
                                    <w:textAlignment w:val="baseline"/>
                                    <w:rPr>
                                      <w:rFonts w:ascii="宋体" w:hAnsi="宋体" w:eastAsia="宋体" w:cs="宋体"/>
                                      <w:snapToGrid w:val="0"/>
                                      <w:color w:val="000000"/>
                                      <w:kern w:val="0"/>
                                      <w:sz w:val="23"/>
                                      <w:szCs w:val="23"/>
                                    </w:rPr>
                                  </w:pPr>
                                </w:p>
                              </w:txbxContent>
                            </wps:txbx>
                            <wps:bodyPr lIns="0" tIns="0" rIns="0" bIns="0" upright="1"/>
                          </wps:wsp>
                        </a:graphicData>
                      </a:graphic>
                    </wp:anchor>
                  </w:drawing>
                </mc:Choice>
                <mc:Fallback>
                  <w:pict>
                    <v:shape id="_x0000_s1026" o:spid="_x0000_s1026" o:spt="202" type="#_x0000_t202" style="position:absolute;left:0pt;margin-left:160.75pt;margin-top:133.95pt;height:16.25pt;width:19.6pt;mso-position-horizontal-relative:page;mso-position-vertical-relative:page;z-index:251659264;mso-width-relative:page;mso-height-relative:page;" filled="f" stroked="f" coordsize="21600,21600" o:gfxdata="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gf6evaAAAACwEAAA8AAAAAAAAAAQAgAAAAIgAAAGRycy9kb3ducmV2Lnht&#10;bFBLAQIUABQAAAAIAIdO4kD2feD6vgEAAH8DAAAOAAAAAAAAAAEAIAAAACkBAABkcnMvZTJvRG9j&#10;LnhtbFBLBQYAAAAABgAGAFkBAABZBQAAAAA=&#10;">
                      <v:fill on="f" focussize="0,0"/>
                      <v:stroke on="f"/>
                      <v:imagedata o:title=""/>
                      <o:lock v:ext="edit" aspectratio="f"/>
                      <v:textbox inset="0mm,0mm,0mm,0mm">
                        <w:txbxContent>
                          <w:p>
                            <w:pPr>
                              <w:widowControl/>
                              <w:kinsoku w:val="0"/>
                              <w:autoSpaceDE w:val="0"/>
                              <w:autoSpaceDN w:val="0"/>
                              <w:adjustRightInd w:val="0"/>
                              <w:snapToGrid w:val="0"/>
                              <w:spacing w:before="20" w:line="228" w:lineRule="auto"/>
                              <w:ind w:left="20"/>
                              <w:jc w:val="left"/>
                              <w:textAlignment w:val="baseline"/>
                              <w:rPr>
                                <w:rFonts w:ascii="宋体" w:hAnsi="宋体" w:eastAsia="宋体" w:cs="宋体"/>
                                <w:snapToGrid w:val="0"/>
                                <w:color w:val="000000"/>
                                <w:kern w:val="0"/>
                                <w:sz w:val="23"/>
                                <w:szCs w:val="23"/>
                              </w:rPr>
                            </w:pPr>
                          </w:p>
                        </w:txbxContent>
                      </v:textbox>
                    </v:shape>
                  </w:pict>
                </mc:Fallback>
              </mc:AlternateContent>
            </w: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7"/>
                <w:kern w:val="0"/>
                <w:sz w:val="24"/>
                <w:szCs w:val="24"/>
              </w:rPr>
              <w:t>1</w:t>
            </w:r>
            <w:r>
              <w:rPr>
                <w:rFonts w:hint="eastAsia" w:ascii="宋体" w:hAnsi="宋体" w:eastAsia="宋体" w:cs="宋体"/>
                <w:snapToGrid w:val="0"/>
                <w:spacing w:val="-6"/>
                <w:kern w:val="0"/>
                <w:sz w:val="24"/>
                <w:szCs w:val="24"/>
              </w:rPr>
              <w:t>30元/人</w:t>
            </w:r>
            <w:r>
              <w:rPr>
                <w:rFonts w:hint="eastAsia" w:ascii="宋体" w:hAnsi="宋体" w:eastAsia="宋体" w:cs="宋体"/>
                <w:snapToGrid w:val="0"/>
                <w:spacing w:val="3"/>
                <w:kern w:val="0"/>
                <w:sz w:val="24"/>
                <w:szCs w:val="24"/>
              </w:rPr>
              <w:t>/天</w:t>
            </w: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2"/>
                <w:kern w:val="0"/>
                <w:sz w:val="24"/>
                <w:szCs w:val="24"/>
              </w:rPr>
              <w:t>1</w:t>
            </w:r>
            <w:r>
              <w:rPr>
                <w:rFonts w:hint="eastAsia" w:ascii="宋体" w:hAnsi="宋体" w:eastAsia="宋体" w:cs="宋体"/>
                <w:snapToGrid w:val="0"/>
                <w:spacing w:val="1"/>
                <w:kern w:val="0"/>
                <w:sz w:val="24"/>
                <w:szCs w:val="24"/>
              </w:rPr>
              <w:t>.保持床单元整洁，漱口、洗脸(脚)保持个人卫生；</w:t>
            </w:r>
          </w:p>
        </w:tc>
        <w:tc>
          <w:tcPr>
            <w:tcW w:w="17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firstLine="46"/>
              <w:jc w:val="center"/>
              <w:textAlignment w:val="baseline"/>
              <w:rPr>
                <w:rFonts w:ascii="宋体" w:hAnsi="宋体" w:eastAsia="宋体" w:cs="宋体"/>
                <w:snapToGrid w:val="0"/>
                <w:kern w:val="0"/>
                <w:sz w:val="24"/>
                <w:szCs w:val="24"/>
              </w:rPr>
            </w:pPr>
            <w:r>
              <w:rPr>
                <w:rFonts w:hint="eastAsia" w:ascii="宋体" w:hAnsi="宋体" w:eastAsia="宋体" w:cs="宋体"/>
                <w:snapToGrid w:val="0"/>
                <w:kern w:val="0"/>
                <w:sz w:val="24"/>
                <w:szCs w:val="24"/>
              </w:rPr>
              <w:t>生活不能</w:t>
            </w:r>
            <w:r>
              <w:rPr>
                <w:rFonts w:hint="eastAsia" w:ascii="宋体" w:hAnsi="宋体" w:eastAsia="宋体" w:cs="宋体"/>
                <w:snapToGrid w:val="0"/>
                <w:spacing w:val="13"/>
                <w:kern w:val="0"/>
                <w:sz w:val="24"/>
                <w:szCs w:val="24"/>
              </w:rPr>
              <w:t>自</w:t>
            </w:r>
            <w:r>
              <w:rPr>
                <w:rFonts w:hint="eastAsia" w:ascii="宋体" w:hAnsi="宋体" w:eastAsia="宋体" w:cs="宋体"/>
                <w:snapToGrid w:val="0"/>
                <w:spacing w:val="11"/>
                <w:kern w:val="0"/>
                <w:sz w:val="24"/>
                <w:szCs w:val="24"/>
              </w:rPr>
              <w:t>理者或</w:t>
            </w:r>
            <w:r>
              <w:rPr>
                <w:rFonts w:hint="eastAsia" w:ascii="宋体" w:hAnsi="宋体" w:eastAsia="宋体" w:cs="宋体"/>
                <w:snapToGrid w:val="0"/>
                <w:spacing w:val="13"/>
                <w:kern w:val="0"/>
                <w:sz w:val="24"/>
                <w:szCs w:val="24"/>
              </w:rPr>
              <w:t>有</w:t>
            </w:r>
            <w:r>
              <w:rPr>
                <w:rFonts w:hint="eastAsia" w:ascii="宋体" w:hAnsi="宋体" w:eastAsia="宋体" w:cs="宋体"/>
                <w:snapToGrid w:val="0"/>
                <w:spacing w:val="11"/>
                <w:kern w:val="0"/>
                <w:sz w:val="24"/>
                <w:szCs w:val="24"/>
              </w:rPr>
              <w:t>需求者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sz w:val="24"/>
                <w:szCs w:val="24"/>
              </w:rPr>
              <w:t>2</w:t>
            </w:r>
            <w:r>
              <w:rPr>
                <w:rFonts w:hint="eastAsia" w:ascii="宋体" w:hAnsi="宋体" w:eastAsia="宋体" w:cs="宋体"/>
                <w:snapToGrid w:val="0"/>
                <w:spacing w:val="12"/>
                <w:kern w:val="0"/>
                <w:sz w:val="24"/>
                <w:szCs w:val="24"/>
              </w:rPr>
              <w:t>.</w:t>
            </w:r>
            <w:r>
              <w:rPr>
                <w:rFonts w:hint="eastAsia" w:ascii="宋体" w:hAnsi="宋体" w:eastAsia="宋体" w:cs="宋体"/>
                <w:snapToGrid w:val="0"/>
                <w:spacing w:val="7"/>
                <w:kern w:val="0"/>
                <w:sz w:val="24"/>
                <w:szCs w:val="24"/>
              </w:rPr>
              <w:t>每周帮助修剪指甲及刮胡须(男性)；</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position w:val="1"/>
                <w:sz w:val="24"/>
                <w:szCs w:val="24"/>
              </w:rPr>
              <w:t>3</w:t>
            </w:r>
            <w:r>
              <w:rPr>
                <w:rFonts w:hint="eastAsia" w:ascii="宋体" w:hAnsi="宋体" w:eastAsia="宋体" w:cs="宋体"/>
                <w:snapToGrid w:val="0"/>
                <w:spacing w:val="8"/>
                <w:kern w:val="0"/>
                <w:position w:val="1"/>
                <w:sz w:val="24"/>
                <w:szCs w:val="24"/>
              </w:rPr>
              <w:t>.负责大小便处理、更换尿垫、擦洗；</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position w:val="1"/>
                <w:sz w:val="24"/>
                <w:szCs w:val="24"/>
              </w:rPr>
              <w:t>4.提醒服务，倒茶递水，协助订饭，根据需要喂饭</w:t>
            </w:r>
            <w:r>
              <w:rPr>
                <w:rFonts w:hint="eastAsia" w:ascii="宋体" w:hAnsi="宋体" w:eastAsia="宋体" w:cs="宋体"/>
                <w:snapToGrid w:val="0"/>
                <w:spacing w:val="4"/>
                <w:kern w:val="0"/>
                <w:position w:val="1"/>
                <w:sz w:val="24"/>
                <w:szCs w:val="24"/>
              </w:rPr>
              <w:t>；</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0"/>
                <w:kern w:val="0"/>
                <w:sz w:val="24"/>
                <w:szCs w:val="24"/>
              </w:rPr>
              <w:t>5</w:t>
            </w:r>
            <w:r>
              <w:rPr>
                <w:rFonts w:hint="eastAsia" w:ascii="宋体" w:hAnsi="宋体" w:eastAsia="宋体" w:cs="宋体"/>
                <w:snapToGrid w:val="0"/>
                <w:spacing w:val="5"/>
                <w:kern w:val="0"/>
                <w:sz w:val="24"/>
                <w:szCs w:val="24"/>
              </w:rPr>
              <w:t>.24小时有人巡视服务，特殊情况随叫随到；</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position w:val="1"/>
                <w:sz w:val="24"/>
                <w:szCs w:val="24"/>
              </w:rPr>
              <w:t>6</w:t>
            </w:r>
            <w:r>
              <w:rPr>
                <w:rFonts w:hint="eastAsia" w:ascii="宋体" w:hAnsi="宋体" w:eastAsia="宋体" w:cs="宋体"/>
                <w:snapToGrid w:val="0"/>
                <w:spacing w:val="10"/>
                <w:kern w:val="0"/>
                <w:position w:val="1"/>
                <w:sz w:val="24"/>
                <w:szCs w:val="24"/>
              </w:rPr>
              <w:t>.</w:t>
            </w:r>
            <w:r>
              <w:rPr>
                <w:rFonts w:hint="eastAsia" w:ascii="宋体" w:hAnsi="宋体" w:eastAsia="宋体" w:cs="宋体"/>
                <w:snapToGrid w:val="0"/>
                <w:spacing w:val="7"/>
                <w:kern w:val="0"/>
                <w:position w:val="1"/>
                <w:sz w:val="24"/>
                <w:szCs w:val="24"/>
              </w:rPr>
              <w:t>陪同病人检查，接送病人,取片；</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6"/>
                <w:kern w:val="0"/>
                <w:position w:val="1"/>
                <w:sz w:val="24"/>
                <w:szCs w:val="24"/>
              </w:rPr>
              <w:t>7</w:t>
            </w:r>
            <w:r>
              <w:rPr>
                <w:rFonts w:hint="eastAsia" w:ascii="宋体" w:hAnsi="宋体" w:eastAsia="宋体" w:cs="宋体"/>
                <w:snapToGrid w:val="0"/>
                <w:spacing w:val="10"/>
                <w:kern w:val="0"/>
                <w:position w:val="1"/>
                <w:sz w:val="24"/>
                <w:szCs w:val="24"/>
              </w:rPr>
              <w:t>.</w:t>
            </w:r>
            <w:r>
              <w:rPr>
                <w:rFonts w:hint="eastAsia" w:ascii="宋体" w:hAnsi="宋体" w:eastAsia="宋体" w:cs="宋体"/>
                <w:snapToGrid w:val="0"/>
                <w:spacing w:val="8"/>
                <w:kern w:val="0"/>
                <w:position w:val="1"/>
                <w:sz w:val="24"/>
                <w:szCs w:val="24"/>
              </w:rPr>
              <w:t>两小时协助翻身、拍背、排痰，预防压力性损伤的发生；</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
                <w:kern w:val="0"/>
                <w:sz w:val="24"/>
                <w:szCs w:val="24"/>
              </w:rPr>
              <w:t>8.冬季每周洗头，洗澡2-3次，夏季每</w:t>
            </w:r>
            <w:r>
              <w:rPr>
                <w:rFonts w:hint="eastAsia" w:ascii="宋体" w:hAnsi="宋体" w:eastAsia="宋体" w:cs="宋体"/>
                <w:snapToGrid w:val="0"/>
                <w:kern w:val="0"/>
                <w:sz w:val="24"/>
                <w:szCs w:val="24"/>
              </w:rPr>
              <w:t>天擦澡1次；</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6"/>
                <w:kern w:val="0"/>
                <w:position w:val="1"/>
                <w:sz w:val="24"/>
                <w:szCs w:val="24"/>
              </w:rPr>
              <w:t>9</w:t>
            </w:r>
            <w:r>
              <w:rPr>
                <w:rFonts w:hint="eastAsia" w:ascii="宋体" w:hAnsi="宋体" w:eastAsia="宋体" w:cs="宋体"/>
                <w:snapToGrid w:val="0"/>
                <w:spacing w:val="11"/>
                <w:kern w:val="0"/>
                <w:position w:val="1"/>
                <w:sz w:val="24"/>
                <w:szCs w:val="24"/>
              </w:rPr>
              <w:t>.</w:t>
            </w:r>
            <w:r>
              <w:rPr>
                <w:rFonts w:hint="eastAsia" w:ascii="宋体" w:hAnsi="宋体" w:eastAsia="宋体" w:cs="宋体"/>
                <w:snapToGrid w:val="0"/>
                <w:spacing w:val="8"/>
                <w:kern w:val="0"/>
                <w:position w:val="1"/>
                <w:sz w:val="24"/>
                <w:szCs w:val="24"/>
              </w:rPr>
              <w:t>协助病人功能锻炼，必要时协助适度活动；</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position w:val="1"/>
                <w:sz w:val="24"/>
                <w:szCs w:val="24"/>
              </w:rPr>
              <w:t>10.必要时多人协助服务</w:t>
            </w:r>
            <w:r>
              <w:rPr>
                <w:rFonts w:hint="eastAsia" w:ascii="宋体" w:hAnsi="宋体" w:eastAsia="宋体" w:cs="宋体"/>
                <w:snapToGrid w:val="0"/>
                <w:spacing w:val="5"/>
                <w:kern w:val="0"/>
                <w:position w:val="1"/>
                <w:sz w:val="24"/>
                <w:szCs w:val="24"/>
              </w:rPr>
              <w:t>；</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position w:val="1"/>
                <w:sz w:val="24"/>
                <w:szCs w:val="24"/>
              </w:rPr>
              <w:t>1</w:t>
            </w:r>
            <w:r>
              <w:rPr>
                <w:rFonts w:hint="eastAsia" w:ascii="宋体" w:hAnsi="宋体" w:eastAsia="宋体" w:cs="宋体"/>
                <w:snapToGrid w:val="0"/>
                <w:spacing w:val="6"/>
                <w:kern w:val="0"/>
                <w:position w:val="1"/>
                <w:sz w:val="24"/>
                <w:szCs w:val="24"/>
              </w:rPr>
              <w:t>1.与病人心理和营养沟通；</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9"/>
                <w:kern w:val="0"/>
                <w:position w:val="1"/>
                <w:sz w:val="24"/>
                <w:szCs w:val="24"/>
              </w:rPr>
              <w:t>1</w:t>
            </w:r>
            <w:r>
              <w:rPr>
                <w:rFonts w:hint="eastAsia" w:ascii="宋体" w:hAnsi="宋体" w:eastAsia="宋体" w:cs="宋体"/>
                <w:snapToGrid w:val="0"/>
                <w:spacing w:val="6"/>
                <w:kern w:val="0"/>
                <w:position w:val="1"/>
                <w:sz w:val="24"/>
                <w:szCs w:val="24"/>
              </w:rPr>
              <w:t>2.协助观察病人身体状况。</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118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16"/>
                <w:kern w:val="0"/>
                <w:sz w:val="24"/>
                <w:szCs w:val="24"/>
              </w:rPr>
              <w:t>Ⅱ</w:t>
            </w:r>
            <w:r>
              <w:rPr>
                <w:rFonts w:hint="eastAsia" w:ascii="宋体" w:hAnsi="宋体" w:eastAsia="宋体" w:cs="宋体"/>
                <w:snapToGrid w:val="0"/>
                <w:spacing w:val="-15"/>
                <w:kern w:val="0"/>
                <w:sz w:val="24"/>
                <w:szCs w:val="24"/>
              </w:rPr>
              <w:t>级</w:t>
            </w:r>
          </w:p>
        </w:tc>
        <w:tc>
          <w:tcPr>
            <w:tcW w:w="12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9</w:t>
            </w:r>
            <w:r>
              <w:rPr>
                <w:rFonts w:hint="eastAsia" w:ascii="宋体" w:hAnsi="宋体" w:eastAsia="宋体" w:cs="宋体"/>
                <w:snapToGrid w:val="0"/>
                <w:spacing w:val="-5"/>
                <w:kern w:val="0"/>
                <w:sz w:val="24"/>
                <w:szCs w:val="24"/>
              </w:rPr>
              <w:t>0</w:t>
            </w:r>
            <w:r>
              <w:rPr>
                <w:rFonts w:hint="eastAsia" w:ascii="宋体" w:hAnsi="宋体" w:eastAsia="宋体" w:cs="宋体"/>
                <w:snapToGrid w:val="0"/>
                <w:spacing w:val="-3"/>
                <w:kern w:val="0"/>
                <w:sz w:val="24"/>
                <w:szCs w:val="24"/>
              </w:rPr>
              <w:t>元/人/</w:t>
            </w:r>
            <w:r>
              <w:rPr>
                <w:rFonts w:hint="eastAsia" w:ascii="宋体" w:hAnsi="宋体" w:eastAsia="宋体" w:cs="宋体"/>
                <w:snapToGrid w:val="0"/>
                <w:kern w:val="0"/>
                <w:sz w:val="24"/>
                <w:szCs w:val="24"/>
              </w:rPr>
              <w:t>天</w:t>
            </w: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8"/>
                <w:kern w:val="0"/>
                <w:sz w:val="24"/>
                <w:szCs w:val="24"/>
              </w:rPr>
              <w:t>1</w:t>
            </w:r>
            <w:r>
              <w:rPr>
                <w:rFonts w:hint="eastAsia" w:ascii="宋体" w:hAnsi="宋体" w:eastAsia="宋体" w:cs="宋体"/>
                <w:snapToGrid w:val="0"/>
                <w:spacing w:val="14"/>
                <w:kern w:val="0"/>
                <w:sz w:val="24"/>
                <w:szCs w:val="24"/>
              </w:rPr>
              <w:t>.</w:t>
            </w:r>
            <w:r>
              <w:rPr>
                <w:rFonts w:hint="eastAsia" w:ascii="宋体" w:hAnsi="宋体" w:eastAsia="宋体" w:cs="宋体"/>
                <w:snapToGrid w:val="0"/>
                <w:spacing w:val="9"/>
                <w:kern w:val="0"/>
                <w:sz w:val="24"/>
                <w:szCs w:val="24"/>
              </w:rPr>
              <w:t>保持床单元整洁，漱口、洗脸(脚)，督促保持个人卫生</w:t>
            </w:r>
          </w:p>
        </w:tc>
        <w:tc>
          <w:tcPr>
            <w:tcW w:w="17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8"/>
                <w:kern w:val="0"/>
                <w:sz w:val="24"/>
                <w:szCs w:val="24"/>
              </w:rPr>
              <w:t>病情较</w:t>
            </w:r>
            <w:r>
              <w:rPr>
                <w:rFonts w:hint="eastAsia" w:ascii="宋体" w:hAnsi="宋体" w:eastAsia="宋体" w:cs="宋体"/>
                <w:snapToGrid w:val="0"/>
                <w:spacing w:val="7"/>
                <w:kern w:val="0"/>
                <w:sz w:val="24"/>
                <w:szCs w:val="24"/>
              </w:rPr>
              <w:t>为</w:t>
            </w:r>
            <w:r>
              <w:rPr>
                <w:rFonts w:hint="eastAsia" w:ascii="宋体" w:hAnsi="宋体" w:eastAsia="宋体" w:cs="宋体"/>
                <w:snapToGrid w:val="0"/>
                <w:spacing w:val="-17"/>
                <w:kern w:val="0"/>
                <w:sz w:val="24"/>
                <w:szCs w:val="24"/>
              </w:rPr>
              <w:t>稳</w:t>
            </w:r>
            <w:r>
              <w:rPr>
                <w:rFonts w:hint="eastAsia" w:ascii="宋体" w:hAnsi="宋体" w:eastAsia="宋体" w:cs="宋体"/>
                <w:snapToGrid w:val="0"/>
                <w:spacing w:val="-16"/>
                <w:kern w:val="0"/>
                <w:sz w:val="24"/>
                <w:szCs w:val="24"/>
              </w:rPr>
              <w:t>定，生活</w:t>
            </w:r>
            <w:r>
              <w:rPr>
                <w:rFonts w:hint="eastAsia" w:ascii="宋体" w:hAnsi="宋体" w:eastAsia="宋体" w:cs="宋体"/>
                <w:snapToGrid w:val="0"/>
                <w:spacing w:val="9"/>
                <w:kern w:val="0"/>
                <w:sz w:val="24"/>
                <w:szCs w:val="24"/>
              </w:rPr>
              <w:t>基</w:t>
            </w:r>
            <w:r>
              <w:rPr>
                <w:rFonts w:hint="eastAsia" w:ascii="宋体" w:hAnsi="宋体" w:eastAsia="宋体" w:cs="宋体"/>
                <w:snapToGrid w:val="0"/>
                <w:spacing w:val="7"/>
                <w:kern w:val="0"/>
                <w:sz w:val="24"/>
                <w:szCs w:val="24"/>
              </w:rPr>
              <w:t>本自理</w:t>
            </w:r>
            <w:r>
              <w:rPr>
                <w:rFonts w:hint="eastAsia" w:ascii="宋体" w:hAnsi="宋体" w:eastAsia="宋体" w:cs="宋体"/>
                <w:snapToGrid w:val="0"/>
                <w:kern w:val="0"/>
                <w:sz w:val="24"/>
                <w:szCs w:val="24"/>
              </w:rPr>
              <w:t>者</w:t>
            </w: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sz w:val="24"/>
                <w:szCs w:val="24"/>
              </w:rPr>
              <w:t>2</w:t>
            </w:r>
            <w:r>
              <w:rPr>
                <w:rFonts w:hint="eastAsia" w:ascii="宋体" w:hAnsi="宋体" w:eastAsia="宋体" w:cs="宋体"/>
                <w:snapToGrid w:val="0"/>
                <w:spacing w:val="12"/>
                <w:kern w:val="0"/>
                <w:sz w:val="24"/>
                <w:szCs w:val="24"/>
              </w:rPr>
              <w:t>.</w:t>
            </w:r>
            <w:r>
              <w:rPr>
                <w:rFonts w:hint="eastAsia" w:ascii="宋体" w:hAnsi="宋体" w:eastAsia="宋体" w:cs="宋体"/>
                <w:snapToGrid w:val="0"/>
                <w:spacing w:val="7"/>
                <w:kern w:val="0"/>
                <w:sz w:val="24"/>
                <w:szCs w:val="24"/>
              </w:rPr>
              <w:t>每周帮助修剪指甲及刮胡须(男性)</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1"/>
                <w:kern w:val="0"/>
                <w:position w:val="1"/>
                <w:sz w:val="24"/>
                <w:szCs w:val="24"/>
              </w:rPr>
              <w:t>3</w:t>
            </w:r>
            <w:r>
              <w:rPr>
                <w:rFonts w:hint="eastAsia" w:ascii="宋体" w:hAnsi="宋体" w:eastAsia="宋体" w:cs="宋体"/>
                <w:snapToGrid w:val="0"/>
                <w:spacing w:val="6"/>
                <w:kern w:val="0"/>
                <w:position w:val="1"/>
                <w:sz w:val="24"/>
                <w:szCs w:val="24"/>
              </w:rPr>
              <w:t>.协助大小便如厕；</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3"/>
                <w:kern w:val="0"/>
                <w:position w:val="1"/>
                <w:sz w:val="24"/>
                <w:szCs w:val="24"/>
              </w:rPr>
              <w:t>4</w:t>
            </w:r>
            <w:r>
              <w:rPr>
                <w:rFonts w:hint="eastAsia" w:ascii="宋体" w:hAnsi="宋体" w:eastAsia="宋体" w:cs="宋体"/>
                <w:snapToGrid w:val="0"/>
                <w:spacing w:val="8"/>
                <w:kern w:val="0"/>
                <w:position w:val="1"/>
                <w:sz w:val="24"/>
                <w:szCs w:val="24"/>
              </w:rPr>
              <w:t>.提醒服务、倒茶递水、协助订饭；</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5</w:t>
            </w:r>
            <w:r>
              <w:rPr>
                <w:rFonts w:hint="eastAsia" w:ascii="宋体" w:hAnsi="宋体" w:eastAsia="宋体" w:cs="宋体"/>
                <w:snapToGrid w:val="0"/>
                <w:spacing w:val="5"/>
                <w:kern w:val="0"/>
                <w:sz w:val="24"/>
                <w:szCs w:val="24"/>
              </w:rPr>
              <w:t>.</w:t>
            </w:r>
            <w:r>
              <w:rPr>
                <w:rFonts w:hint="eastAsia" w:ascii="宋体" w:hAnsi="宋体" w:eastAsia="宋体" w:cs="宋体"/>
                <w:snapToGrid w:val="0"/>
                <w:spacing w:val="3"/>
                <w:kern w:val="0"/>
                <w:sz w:val="24"/>
                <w:szCs w:val="24"/>
              </w:rPr>
              <w:t>正常两小时巡视病房1次，特殊情况随叫随到；</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position w:val="1"/>
                <w:sz w:val="24"/>
                <w:szCs w:val="24"/>
              </w:rPr>
              <w:t>6</w:t>
            </w:r>
            <w:r>
              <w:rPr>
                <w:rFonts w:hint="eastAsia" w:ascii="宋体" w:hAnsi="宋体" w:eastAsia="宋体" w:cs="宋体"/>
                <w:snapToGrid w:val="0"/>
                <w:spacing w:val="10"/>
                <w:kern w:val="0"/>
                <w:position w:val="1"/>
                <w:sz w:val="24"/>
                <w:szCs w:val="24"/>
              </w:rPr>
              <w:t>.</w:t>
            </w:r>
            <w:r>
              <w:rPr>
                <w:rFonts w:hint="eastAsia" w:ascii="宋体" w:hAnsi="宋体" w:eastAsia="宋体" w:cs="宋体"/>
                <w:snapToGrid w:val="0"/>
                <w:spacing w:val="7"/>
                <w:kern w:val="0"/>
                <w:position w:val="1"/>
                <w:sz w:val="24"/>
                <w:szCs w:val="24"/>
              </w:rPr>
              <w:t>陪同病人检查，接送病人，取片；</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0"/>
                <w:kern w:val="0"/>
                <w:position w:val="1"/>
                <w:sz w:val="24"/>
                <w:szCs w:val="24"/>
              </w:rPr>
              <w:t>7</w:t>
            </w:r>
            <w:r>
              <w:rPr>
                <w:rFonts w:hint="eastAsia" w:ascii="宋体" w:hAnsi="宋体" w:eastAsia="宋体" w:cs="宋体"/>
                <w:snapToGrid w:val="0"/>
                <w:spacing w:val="7"/>
                <w:kern w:val="0"/>
                <w:position w:val="1"/>
                <w:sz w:val="24"/>
                <w:szCs w:val="24"/>
              </w:rPr>
              <w:t>.协助翻身、拍背、排痰。</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position w:val="1"/>
                <w:sz w:val="24"/>
                <w:szCs w:val="24"/>
              </w:rPr>
              <w:t>8</w:t>
            </w:r>
            <w:r>
              <w:rPr>
                <w:rFonts w:hint="eastAsia" w:ascii="宋体" w:hAnsi="宋体" w:eastAsia="宋体" w:cs="宋体"/>
                <w:snapToGrid w:val="0"/>
                <w:spacing w:val="8"/>
                <w:kern w:val="0"/>
                <w:position w:val="1"/>
                <w:sz w:val="24"/>
                <w:szCs w:val="24"/>
              </w:rPr>
              <w:t>.</w:t>
            </w:r>
            <w:r>
              <w:rPr>
                <w:rFonts w:hint="eastAsia" w:ascii="宋体" w:hAnsi="宋体" w:eastAsia="宋体" w:cs="宋体"/>
                <w:snapToGrid w:val="0"/>
                <w:spacing w:val="7"/>
                <w:kern w:val="0"/>
                <w:position w:val="1"/>
                <w:sz w:val="24"/>
                <w:szCs w:val="24"/>
              </w:rPr>
              <w:t>每周协助洗头或者洗澡。</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118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Ⅲ</w:t>
            </w:r>
            <w:r>
              <w:rPr>
                <w:rFonts w:hint="eastAsia" w:ascii="宋体" w:hAnsi="宋体" w:eastAsia="宋体" w:cs="宋体"/>
                <w:snapToGrid w:val="0"/>
                <w:spacing w:val="5"/>
                <w:kern w:val="0"/>
                <w:sz w:val="24"/>
                <w:szCs w:val="24"/>
              </w:rPr>
              <w:t>级</w:t>
            </w:r>
          </w:p>
        </w:tc>
        <w:tc>
          <w:tcPr>
            <w:tcW w:w="12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textAlignment w:val="baseline"/>
              <w:rPr>
                <w:rFonts w:ascii="宋体" w:hAnsi="宋体" w:eastAsia="宋体" w:cs="宋体"/>
                <w:snapToGrid w:val="0"/>
                <w:kern w:val="0"/>
                <w:sz w:val="24"/>
                <w:szCs w:val="24"/>
              </w:rPr>
            </w:pPr>
            <w:r>
              <w:rPr>
                <w:rFonts w:hint="eastAsia" w:ascii="宋体" w:hAnsi="宋体" w:eastAsia="宋体" w:cs="宋体"/>
                <w:snapToGrid w:val="0"/>
                <w:spacing w:val="-6"/>
                <w:kern w:val="0"/>
                <w:sz w:val="24"/>
                <w:szCs w:val="24"/>
              </w:rPr>
              <w:t>5</w:t>
            </w:r>
            <w:r>
              <w:rPr>
                <w:rFonts w:hint="eastAsia" w:ascii="宋体" w:hAnsi="宋体" w:eastAsia="宋体" w:cs="宋体"/>
                <w:snapToGrid w:val="0"/>
                <w:spacing w:val="-4"/>
                <w:kern w:val="0"/>
                <w:sz w:val="24"/>
                <w:szCs w:val="24"/>
              </w:rPr>
              <w:t>0元/人/</w:t>
            </w:r>
            <w:r>
              <w:rPr>
                <w:rFonts w:hint="eastAsia" w:ascii="宋体" w:hAnsi="宋体" w:eastAsia="宋体" w:cs="宋体"/>
                <w:snapToGrid w:val="0"/>
                <w:kern w:val="0"/>
                <w:sz w:val="24"/>
                <w:szCs w:val="24"/>
              </w:rPr>
              <w:t>天</w:t>
            </w: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2"/>
                <w:kern w:val="0"/>
                <w:sz w:val="24"/>
                <w:szCs w:val="24"/>
              </w:rPr>
              <w:t>1.</w:t>
            </w:r>
            <w:r>
              <w:rPr>
                <w:rFonts w:hint="eastAsia" w:ascii="宋体" w:hAnsi="宋体" w:eastAsia="宋体" w:cs="宋体"/>
                <w:snapToGrid w:val="0"/>
                <w:spacing w:val="6"/>
                <w:kern w:val="0"/>
                <w:sz w:val="24"/>
                <w:szCs w:val="24"/>
              </w:rPr>
              <w:t>保持床单元整洁，打洗脸(脚)水；</w:t>
            </w:r>
          </w:p>
        </w:tc>
        <w:tc>
          <w:tcPr>
            <w:tcW w:w="1790" w:type="dxa"/>
            <w:vMerge w:val="restart"/>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4"/>
                <w:kern w:val="0"/>
                <w:sz w:val="24"/>
                <w:szCs w:val="24"/>
              </w:rPr>
              <w:t>生活</w:t>
            </w:r>
            <w:r>
              <w:rPr>
                <w:rFonts w:hint="eastAsia" w:ascii="宋体" w:hAnsi="宋体" w:eastAsia="宋体" w:cs="宋体"/>
                <w:snapToGrid w:val="0"/>
                <w:spacing w:val="-7"/>
                <w:kern w:val="0"/>
                <w:sz w:val="24"/>
                <w:szCs w:val="24"/>
              </w:rPr>
              <w:t>自</w:t>
            </w:r>
            <w:r>
              <w:rPr>
                <w:rFonts w:hint="eastAsia" w:ascii="宋体" w:hAnsi="宋体" w:eastAsia="宋体" w:cs="宋体"/>
                <w:snapToGrid w:val="0"/>
                <w:spacing w:val="-6"/>
                <w:kern w:val="0"/>
                <w:sz w:val="24"/>
                <w:szCs w:val="24"/>
              </w:rPr>
              <w:t>理者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4"/>
                <w:kern w:val="0"/>
                <w:sz w:val="24"/>
                <w:szCs w:val="24"/>
              </w:rPr>
              <w:t>2</w:t>
            </w:r>
            <w:r>
              <w:rPr>
                <w:rFonts w:hint="eastAsia" w:ascii="宋体" w:hAnsi="宋体" w:eastAsia="宋体" w:cs="宋体"/>
                <w:snapToGrid w:val="0"/>
                <w:spacing w:val="12"/>
                <w:kern w:val="0"/>
                <w:sz w:val="24"/>
                <w:szCs w:val="24"/>
              </w:rPr>
              <w:t>.</w:t>
            </w:r>
            <w:r>
              <w:rPr>
                <w:rFonts w:hint="eastAsia" w:ascii="宋体" w:hAnsi="宋体" w:eastAsia="宋体" w:cs="宋体"/>
                <w:snapToGrid w:val="0"/>
                <w:spacing w:val="7"/>
                <w:kern w:val="0"/>
                <w:sz w:val="24"/>
                <w:szCs w:val="24"/>
              </w:rPr>
              <w:t>每周帮助修剪指甲及刮胡须(男性)；</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4"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1"/>
                <w:kern w:val="0"/>
                <w:position w:val="1"/>
                <w:sz w:val="24"/>
                <w:szCs w:val="24"/>
              </w:rPr>
              <w:t>3</w:t>
            </w:r>
            <w:r>
              <w:rPr>
                <w:rFonts w:hint="eastAsia" w:ascii="宋体" w:hAnsi="宋体" w:eastAsia="宋体" w:cs="宋体"/>
                <w:snapToGrid w:val="0"/>
                <w:spacing w:val="6"/>
                <w:kern w:val="0"/>
                <w:position w:val="1"/>
                <w:sz w:val="24"/>
                <w:szCs w:val="24"/>
              </w:rPr>
              <w:t>.协助大小便如厕；</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r>
              <w:rPr>
                <w:rFonts w:hint="eastAsia" w:ascii="宋体" w:hAnsi="宋体" w:eastAsia="宋体" w:cs="宋体"/>
                <w:snapToGrid w:val="0"/>
                <w:spacing w:val="13"/>
                <w:kern w:val="0"/>
                <w:position w:val="1"/>
                <w:sz w:val="24"/>
                <w:szCs w:val="24"/>
              </w:rPr>
              <w:t>4</w:t>
            </w:r>
            <w:r>
              <w:rPr>
                <w:rFonts w:hint="eastAsia" w:ascii="宋体" w:hAnsi="宋体" w:eastAsia="宋体" w:cs="宋体"/>
                <w:snapToGrid w:val="0"/>
                <w:spacing w:val="8"/>
                <w:kern w:val="0"/>
                <w:position w:val="1"/>
                <w:sz w:val="24"/>
                <w:szCs w:val="24"/>
              </w:rPr>
              <w:t>.提醒服务、倒茶递水、协助订饭；</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6"/>
                <w:kern w:val="0"/>
                <w:sz w:val="24"/>
                <w:szCs w:val="24"/>
              </w:rPr>
              <w:t>5.</w:t>
            </w:r>
            <w:r>
              <w:rPr>
                <w:rFonts w:hint="eastAsia" w:ascii="宋体" w:hAnsi="宋体" w:eastAsia="宋体" w:cs="宋体"/>
                <w:snapToGrid w:val="0"/>
                <w:spacing w:val="-3"/>
                <w:kern w:val="0"/>
                <w:sz w:val="24"/>
                <w:szCs w:val="24"/>
              </w:rPr>
              <w:t>日间不定时巡视，夜间巡视病人1次；</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118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12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c>
          <w:tcPr>
            <w:tcW w:w="4304" w:type="dxa"/>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7"/>
                <w:kern w:val="0"/>
                <w:position w:val="1"/>
                <w:sz w:val="24"/>
                <w:szCs w:val="24"/>
              </w:rPr>
              <w:t>6.陪同病人检查，接送病人,取片</w:t>
            </w:r>
          </w:p>
        </w:tc>
        <w:tc>
          <w:tcPr>
            <w:tcW w:w="1790" w:type="dxa"/>
            <w:vMerge w:val="continue"/>
            <w:vAlign w:val="center"/>
          </w:tcPr>
          <w:p>
            <w:pPr>
              <w:widowControl/>
              <w:wordWrap w:val="0"/>
              <w:topLinePunct/>
              <w:adjustRightInd w:val="0"/>
              <w:snapToGrid w:val="0"/>
              <w:spacing w:line="360" w:lineRule="auto"/>
              <w:ind w:left="420" w:leftChars="200"/>
              <w:jc w:val="center"/>
              <w:textAlignment w:val="baseline"/>
              <w:rPr>
                <w:rFonts w:ascii="宋体" w:hAnsi="宋体" w:eastAsia="宋体" w:cs="宋体"/>
                <w:snapToGrid w:val="0"/>
                <w:kern w:val="0"/>
                <w:sz w:val="24"/>
                <w:szCs w:val="24"/>
              </w:rPr>
            </w:pPr>
          </w:p>
        </w:tc>
      </w:tr>
    </w:tbl>
    <w:p>
      <w:pPr>
        <w:jc w:val="left"/>
        <w:rPr>
          <w:rFonts w:ascii="宋体" w:hAnsi="宋体" w:eastAsia="宋体" w:cs="宋体"/>
          <w:sz w:val="28"/>
        </w:rPr>
      </w:pPr>
      <w:r>
        <w:rPr>
          <w:rFonts w:hint="eastAsia" w:ascii="宋体" w:hAnsi="宋体" w:eastAsia="宋体" w:cs="宋体"/>
          <w:sz w:val="28"/>
        </w:rPr>
        <w:t>四、服务内容及考核标准</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秉承自愿的原则，成交供应商按需服务，即：按需求和磋商文件及合同约定的服务内容、流程和标准，为病员和产妇提供相应服务。除约定的生活护理和陪护服务事项外，本项目服务期间成交供应商可以并需逐步开展各类特需和个性化的服务项目，以满病员和医院服务的需求。增加的服务项目须经医院审核批准，未征得采购人批准的情况下不得擅自增加服务项目。</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(一)服务内容</w:t>
      </w:r>
    </w:p>
    <w:p>
      <w:pPr>
        <w:widowControl/>
        <w:kinsoku w:val="0"/>
        <w:autoSpaceDE w:val="0"/>
        <w:autoSpaceDN w:val="0"/>
        <w:adjustRightInd w:val="0"/>
        <w:snapToGrid w:val="0"/>
        <w:spacing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1、普通病房服务内容</w:t>
      </w:r>
    </w:p>
    <w:tbl>
      <w:tblPr>
        <w:tblStyle w:val="37"/>
        <w:tblW w:w="501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68"/>
        <w:gridCol w:w="70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项目</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具体内容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5" w:hRule="atLeast"/>
        </w:trPr>
        <w:tc>
          <w:tcPr>
            <w:tcW w:w="761" w:type="pct"/>
          </w:tcPr>
          <w:p>
            <w:pPr>
              <w:widowControl/>
              <w:kinsoku w:val="0"/>
              <w:autoSpaceDE w:val="0"/>
              <w:autoSpaceDN w:val="0"/>
              <w:adjustRightInd w:val="0"/>
              <w:snapToGrid w:val="0"/>
              <w:spacing w:before="624" w:beforeLines="200" w:line="360" w:lineRule="auto"/>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日常整理</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床铺整理、协助更衣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饮食照护</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配餐、协助热饭菜、协助进食、清洗餐具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清洁照护</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洗脸、擦背洗脚、漱口刷牙、假牙清洗、修剪指甲、剃须等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排泄照护</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协助大小便、倾倒消毒便器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61" w:type="pct"/>
          </w:tcPr>
          <w:p>
            <w:pPr>
              <w:widowControl/>
              <w:kinsoku w:val="0"/>
              <w:autoSpaceDE w:val="0"/>
              <w:autoSpaceDN w:val="0"/>
              <w:adjustRightInd w:val="0"/>
              <w:snapToGrid w:val="0"/>
              <w:spacing w:before="624" w:beforeLines="200" w:line="360" w:lineRule="auto"/>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日常照护</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更换体位，搀扶行走、协助翻身拍背及指导有效咳嗽、床上运动、协助下床活动。为维护卧床期间患者的关节、肌肉功能等，进行必要的被动活动或主动活动的督促，特殊情况呼叫</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陪检照护</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检查前帮助患者进行检查预约；陪同患者外出检查，并负责患者检查过程中的搬运工作；检查后，帮助患者取回检查报告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日常安全防范</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防跌倒/撞伤、防坠床、防拔管、防窒息、防烫伤、防压疮、防走失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761"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特殊服务</w:t>
            </w:r>
          </w:p>
        </w:tc>
        <w:tc>
          <w:tcPr>
            <w:tcW w:w="4238" w:type="pct"/>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康复训练、陪同散步、代购物品等，发现病情变化及时汇报医务人员</w:t>
            </w:r>
          </w:p>
        </w:tc>
      </w:tr>
    </w:tbl>
    <w:p>
      <w:pPr>
        <w:widowControl/>
        <w:kinsoku w:val="0"/>
        <w:autoSpaceDE w:val="0"/>
        <w:autoSpaceDN w:val="0"/>
        <w:adjustRightInd w:val="0"/>
        <w:snapToGrid w:val="0"/>
        <w:spacing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2、特需病房服务内容(母婴陪护服务内容)</w:t>
      </w:r>
    </w:p>
    <w:tbl>
      <w:tblPr>
        <w:tblStyle w:val="37"/>
        <w:tblW w:w="8499" w:type="dxa"/>
        <w:tblInd w:w="-8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2"/>
        <w:gridCol w:w="69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1502" w:type="dxa"/>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项目</w:t>
            </w:r>
          </w:p>
        </w:tc>
        <w:tc>
          <w:tcPr>
            <w:tcW w:w="6997" w:type="dxa"/>
          </w:tcPr>
          <w:p>
            <w:pPr>
              <w:widowControl/>
              <w:kinsoku w:val="0"/>
              <w:autoSpaceDE w:val="0"/>
              <w:autoSpaceDN w:val="0"/>
              <w:adjustRightInd w:val="0"/>
              <w:snapToGrid w:val="0"/>
              <w:spacing w:before="624" w:beforeLines="200" w:line="360" w:lineRule="auto"/>
              <w:jc w:val="center"/>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具体内容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日常整理</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床单元整理、协助更衣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饮食照护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饮食宣教、产妇用品整理消毒、协助卧床孕产妇进食、帮助取餐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清洁照护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床上擦浴、更换尿垫、会阴护理、协助如厕等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6"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治疗照护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乳房护理、哺乳指导、指导拔奶、坐姿喂奶、呛奶指导、产后恢复指导、营养搭配及加餐指导等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6"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协助翻身及有效咳嗽、指导床上运动、协助下床活动。为维护卧床期间患者的关节、肌肉功能等，进行必要的被动活动或主动活动的督促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日常安全防范</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防跌倒/撞伤、防坠床、防拔管、防窒息、防烫伤、防压疮、防走失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9"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陪检照护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检查前帮助患者进行检查预约；陪同患者外出检查，并负责患者检查过程中的搬运工作；检查后，帮助患者取回检查报告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1502"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特殊服务</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心理疏导抚慰、发现病情变化及时汇报医务人员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502" w:type="dxa"/>
            <w:vMerge w:val="restart"/>
            <w:tcBorders>
              <w:bottom w:val="nil"/>
            </w:tcBorders>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新生儿照护</w:t>
            </w: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新生儿用具消毒，新生儿衣物整理准备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502" w:type="dxa"/>
            <w:vMerge w:val="continue"/>
            <w:tcBorders>
              <w:top w:val="nil"/>
              <w:bottom w:val="nil"/>
            </w:tcBorders>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协助新生儿洗澡及全身皮肤护理，在护士指导下进行新生儿抚触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2" w:hRule="atLeast"/>
        </w:trPr>
        <w:tc>
          <w:tcPr>
            <w:tcW w:w="1502" w:type="dxa"/>
            <w:vMerge w:val="continue"/>
            <w:tcBorders>
              <w:top w:val="nil"/>
            </w:tcBorders>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p>
        </w:tc>
        <w:tc>
          <w:tcPr>
            <w:tcW w:w="6997" w:type="dxa"/>
          </w:tcPr>
          <w:p>
            <w:pPr>
              <w:widowControl/>
              <w:kinsoku w:val="0"/>
              <w:autoSpaceDE w:val="0"/>
              <w:autoSpaceDN w:val="0"/>
              <w:adjustRightInd w:val="0"/>
              <w:snapToGrid w:val="0"/>
              <w:spacing w:before="624" w:beforeLines="200" w:line="360" w:lineRule="auto"/>
              <w:jc w:val="left"/>
              <w:textAlignment w:val="baseline"/>
              <w:rPr>
                <w:rFonts w:ascii="宋体" w:hAnsi="宋体" w:eastAsia="宋体" w:cs="宋体"/>
                <w:snapToGrid w:val="0"/>
                <w:spacing w:val="13"/>
                <w:kern w:val="0"/>
                <w:position w:val="1"/>
                <w:sz w:val="24"/>
                <w:szCs w:val="24"/>
              </w:rPr>
            </w:pPr>
            <w:r>
              <w:rPr>
                <w:rFonts w:hint="eastAsia" w:ascii="宋体" w:hAnsi="宋体" w:eastAsia="宋体" w:cs="宋体"/>
                <w:snapToGrid w:val="0"/>
                <w:spacing w:val="13"/>
                <w:kern w:val="0"/>
                <w:position w:val="1"/>
                <w:sz w:val="24"/>
                <w:szCs w:val="24"/>
              </w:rPr>
              <w:t>协助新生儿喂养及指导更换尿布等，协助大小便观察与护理</w:t>
            </w:r>
          </w:p>
        </w:tc>
      </w:tr>
    </w:tbl>
    <w:p>
      <w:pPr>
        <w:spacing w:line="360" w:lineRule="auto"/>
        <w:rPr>
          <w:rFonts w:ascii="宋体" w:hAnsi="宋体" w:eastAsia="宋体" w:cs="宋体"/>
          <w:sz w:val="24"/>
          <w:szCs w:val="24"/>
        </w:rPr>
      </w:pPr>
    </w:p>
    <w:p>
      <w:pPr>
        <w:numPr>
          <w:ilvl w:val="0"/>
          <w:numId w:val="4"/>
        </w:num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考核细则</w:t>
      </w:r>
    </w:p>
    <w:tbl>
      <w:tblPr>
        <w:tblStyle w:val="16"/>
        <w:tblpPr w:leftFromText="180" w:rightFromText="180" w:vertAnchor="text" w:horzAnchor="page" w:tblpX="1103" w:tblpY="1285"/>
        <w:tblOverlap w:val="never"/>
        <w:tblW w:w="9180" w:type="dxa"/>
        <w:tblInd w:w="0" w:type="dxa"/>
        <w:tblLayout w:type="fixed"/>
        <w:tblCellMar>
          <w:top w:w="0" w:type="dxa"/>
          <w:left w:w="108" w:type="dxa"/>
          <w:bottom w:w="0" w:type="dxa"/>
          <w:right w:w="108" w:type="dxa"/>
        </w:tblCellMar>
      </w:tblPr>
      <w:tblGrid>
        <w:gridCol w:w="959"/>
        <w:gridCol w:w="850"/>
        <w:gridCol w:w="3686"/>
        <w:gridCol w:w="3685"/>
      </w:tblGrid>
      <w:tr>
        <w:tblPrEx>
          <w:tblCellMar>
            <w:top w:w="0" w:type="dxa"/>
            <w:left w:w="108" w:type="dxa"/>
            <w:bottom w:w="0" w:type="dxa"/>
            <w:right w:w="108" w:type="dxa"/>
          </w:tblCellMar>
        </w:tblPrEx>
        <w:trPr>
          <w:trHeight w:val="1200" w:hRule="atLeast"/>
        </w:trPr>
        <w:tc>
          <w:tcPr>
            <w:tcW w:w="959" w:type="dxa"/>
            <w:tcBorders>
              <w:top w:val="single" w:color="000000" w:sz="4" w:space="0"/>
              <w:left w:val="single" w:color="000000" w:sz="4" w:space="0"/>
              <w:bottom w:val="single" w:color="000000" w:sz="4" w:space="0"/>
              <w:right w:val="single" w:color="000000" w:sz="4" w:space="0"/>
            </w:tcBorders>
          </w:tcPr>
          <w:p>
            <w:pPr>
              <w:widowControl/>
              <w:spacing w:before="100" w:beforeAutospacing="1" w:line="560" w:lineRule="exact"/>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考核</w:t>
            </w:r>
          </w:p>
          <w:p>
            <w:pPr>
              <w:widowControl/>
              <w:spacing w:before="100" w:beforeAutospacing="1" w:line="560" w:lineRule="exact"/>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纬度</w:t>
            </w: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序号</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考核标准细则</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考核结果处罚</w:t>
            </w:r>
          </w:p>
        </w:tc>
      </w:tr>
      <w:tr>
        <w:tblPrEx>
          <w:tblCellMar>
            <w:top w:w="0" w:type="dxa"/>
            <w:left w:w="108" w:type="dxa"/>
            <w:bottom w:w="0" w:type="dxa"/>
            <w:right w:w="108" w:type="dxa"/>
          </w:tblCellMar>
        </w:tblPrEx>
        <w:trPr>
          <w:trHeight w:val="1126" w:hRule="atLeast"/>
        </w:trPr>
        <w:tc>
          <w:tcPr>
            <w:tcW w:w="959" w:type="dxa"/>
            <w:vMerge w:val="restart"/>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公司管理</w:t>
            </w: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成交供应商接到科室通知后，必须在1小时内派人到患者床边商谈相关事项。</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1人次未到扣罚20元。</w:t>
            </w:r>
          </w:p>
        </w:tc>
      </w:tr>
      <w:tr>
        <w:tblPrEx>
          <w:tblCellMar>
            <w:top w:w="0" w:type="dxa"/>
            <w:left w:w="108" w:type="dxa"/>
            <w:bottom w:w="0" w:type="dxa"/>
            <w:right w:w="108" w:type="dxa"/>
          </w:tblCellMar>
        </w:tblPrEx>
        <w:trPr>
          <w:trHeight w:val="1200"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成交供应商与患者或家属双方在自愿基础上达成用人意向后，必须签署用工协议：明确用工性质、用工时间、服务项目及标准、收费价格等，双方各执一份。</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发现1人次未签署用工协议直接提供服务,扣罚500元；协议未明确相关事项,1份少一项扣罚10元。</w:t>
            </w:r>
          </w:p>
        </w:tc>
      </w:tr>
      <w:tr>
        <w:tblPrEx>
          <w:tblCellMar>
            <w:top w:w="0" w:type="dxa"/>
            <w:left w:w="108" w:type="dxa"/>
            <w:bottom w:w="0" w:type="dxa"/>
            <w:right w:w="108" w:type="dxa"/>
          </w:tblCellMar>
        </w:tblPrEx>
        <w:trPr>
          <w:trHeight w:val="1200"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成交单位管理人员定期对患者或家属就服务质量进行访视(开始提供服务第二天必须进行访视1次，以后每周每个患者至少1次，长期服务者每月至少1次)，服务结束必须征求患者意见。</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未及时征求意见，扣罚20元/人次，患者或家属对服务不满，未及时纠正，扣罚50元/人次。</w:t>
            </w:r>
          </w:p>
        </w:tc>
      </w:tr>
      <w:tr>
        <w:tblPrEx>
          <w:tblCellMar>
            <w:top w:w="0" w:type="dxa"/>
            <w:left w:w="108" w:type="dxa"/>
            <w:bottom w:w="0" w:type="dxa"/>
            <w:right w:w="108" w:type="dxa"/>
          </w:tblCellMar>
        </w:tblPrEx>
        <w:trPr>
          <w:trHeight w:val="903"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及时根据科室、患者或家属要求，调整或派遣服务人员。</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未及时调换，扣罚20元/次，造成患者或家属极不满意的，扣罚100元/次。</w:t>
            </w:r>
          </w:p>
        </w:tc>
      </w:tr>
      <w:tr>
        <w:tblPrEx>
          <w:tblCellMar>
            <w:top w:w="0" w:type="dxa"/>
            <w:left w:w="108" w:type="dxa"/>
            <w:bottom w:w="0" w:type="dxa"/>
            <w:right w:w="108" w:type="dxa"/>
          </w:tblCellMar>
        </w:tblPrEx>
        <w:trPr>
          <w:trHeight w:val="1200"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5</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收费价格应根据成交供应商与采购人双方协商制定的价格收取，成交供应商不得单方随意调整价格，如需调整，成交供应商必须书面提出申请及调价的依据。</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发现随意抬价1人次，直接罚款500元。</w:t>
            </w:r>
          </w:p>
        </w:tc>
      </w:tr>
      <w:tr>
        <w:tblPrEx>
          <w:tblCellMar>
            <w:top w:w="0" w:type="dxa"/>
            <w:left w:w="108" w:type="dxa"/>
            <w:bottom w:w="0" w:type="dxa"/>
            <w:right w:w="108" w:type="dxa"/>
          </w:tblCellMar>
        </w:tblPrEx>
        <w:trPr>
          <w:trHeight w:val="1200"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6</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接到患者或家属投诉后，必须及时派管理人员前去调查、协商处理，对纠纷处理及时、妥善，不得影响采购人正常医疗秩序</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未及时到场，扣罚20元/次，未妥善处理，扣罚100元/处理不妥，给甲方或患者造成影响的，根据事件大小扣罚10-500元/次。</w:t>
            </w:r>
          </w:p>
        </w:tc>
      </w:tr>
      <w:tr>
        <w:tblPrEx>
          <w:tblCellMar>
            <w:top w:w="0" w:type="dxa"/>
            <w:left w:w="108" w:type="dxa"/>
            <w:bottom w:w="0" w:type="dxa"/>
            <w:right w:w="108" w:type="dxa"/>
          </w:tblCellMar>
        </w:tblPrEx>
        <w:trPr>
          <w:trHeight w:val="1353" w:hRule="atLeast"/>
        </w:trPr>
        <w:tc>
          <w:tcPr>
            <w:tcW w:w="959" w:type="dxa"/>
            <w:vMerge w:val="restart"/>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top"/>
              <w:rPr>
                <w:rFonts w:ascii="宋体" w:hAnsi="宋体" w:eastAsia="宋体" w:cs="宋体"/>
                <w:sz w:val="24"/>
                <w:szCs w:val="24"/>
              </w:rPr>
            </w:pPr>
            <w:r>
              <w:rPr>
                <w:rFonts w:hint="eastAsia" w:ascii="宋体" w:hAnsi="宋体" w:eastAsia="宋体" w:cs="宋体"/>
                <w:kern w:val="0"/>
                <w:sz w:val="24"/>
                <w:szCs w:val="24"/>
                <w:lang w:bidi="ar"/>
              </w:rPr>
              <w:t>服务人员行为</w:t>
            </w: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7</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成交供应商所派员工必须着统一的工作装、头发、鞋子整洁、不戴戒指、耳环不超过耳垂，不穿拖鞋、挂工作胸牌。工作期间不得随意串门聊天，不得高声话，不得在病房打牌、喝酒等。</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发现1人次仪容仪表不符合要求，根据情况扣罚10-50元。1人次在病房打牌、喝酒等扣罚100元。</w:t>
            </w:r>
          </w:p>
        </w:tc>
      </w:tr>
      <w:tr>
        <w:tblPrEx>
          <w:tblCellMar>
            <w:top w:w="0" w:type="dxa"/>
            <w:left w:w="108" w:type="dxa"/>
            <w:bottom w:w="0" w:type="dxa"/>
            <w:right w:w="108" w:type="dxa"/>
          </w:tblCellMar>
        </w:tblPrEx>
        <w:trPr>
          <w:trHeight w:val="1498"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8</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不私自在病房接活，不额外以各种理由收取患者钱物、不搭车开药等，不得直接接触现金，不得向患者推销任何产品、服务及其他医院等。</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私自在病房接活扣罚200元/人次，收取钱物等，必须原物退还，搭车开药照价赔偿给患者，另扣罚200元/人次，向患者推销产品等，扣罚200元人/次。</w:t>
            </w:r>
          </w:p>
        </w:tc>
      </w:tr>
      <w:tr>
        <w:tblPrEx>
          <w:tblCellMar>
            <w:top w:w="0" w:type="dxa"/>
            <w:left w:w="108" w:type="dxa"/>
            <w:bottom w:w="0" w:type="dxa"/>
            <w:right w:w="108" w:type="dxa"/>
          </w:tblCellMar>
        </w:tblPrEx>
        <w:trPr>
          <w:trHeight w:val="779"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9</w:t>
            </w:r>
          </w:p>
        </w:tc>
        <w:tc>
          <w:tcPr>
            <w:tcW w:w="3686" w:type="dxa"/>
            <w:tcBorders>
              <w:top w:val="single" w:color="000000" w:sz="4" w:space="0"/>
              <w:left w:val="single" w:color="000000" w:sz="4" w:space="0"/>
              <w:bottom w:val="single" w:color="000000" w:sz="4" w:space="0"/>
              <w:right w:val="single" w:color="000000" w:sz="4" w:space="0"/>
            </w:tcBorders>
            <w:noWrap/>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服务人员必须按服务项目和标准按时、保质完成服务内容。</w:t>
            </w:r>
          </w:p>
        </w:tc>
        <w:tc>
          <w:tcPr>
            <w:tcW w:w="3685"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发现1项1人次未做到位，根据是否是关键标准，扣罚10-100元。</w:t>
            </w:r>
          </w:p>
        </w:tc>
      </w:tr>
      <w:tr>
        <w:tblPrEx>
          <w:tblCellMar>
            <w:top w:w="0" w:type="dxa"/>
            <w:left w:w="108" w:type="dxa"/>
            <w:bottom w:w="0" w:type="dxa"/>
            <w:right w:w="108" w:type="dxa"/>
          </w:tblCellMar>
        </w:tblPrEx>
        <w:trPr>
          <w:trHeight w:val="779"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10</w:t>
            </w:r>
          </w:p>
        </w:tc>
        <w:tc>
          <w:tcPr>
            <w:tcW w:w="3686" w:type="dxa"/>
            <w:tcBorders>
              <w:top w:val="single" w:color="000000" w:sz="4" w:space="0"/>
              <w:left w:val="single" w:color="000000" w:sz="4" w:space="0"/>
              <w:bottom w:val="single" w:color="000000" w:sz="4" w:space="0"/>
              <w:right w:val="single" w:color="000000" w:sz="4" w:space="0"/>
            </w:tcBorders>
            <w:noWrap/>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患者总体满意度达85%以上。</w:t>
            </w:r>
          </w:p>
        </w:tc>
        <w:tc>
          <w:tcPr>
            <w:tcW w:w="3685" w:type="dxa"/>
            <w:tcBorders>
              <w:top w:val="single" w:color="000000" w:sz="4" w:space="0"/>
              <w:left w:val="single" w:color="000000" w:sz="4" w:space="0"/>
              <w:bottom w:val="single" w:color="000000" w:sz="4" w:space="0"/>
              <w:right w:val="single" w:color="000000" w:sz="4" w:space="0"/>
            </w:tcBorders>
            <w:noWrap/>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1次检查结果未达标，扣罚500元</w:t>
            </w:r>
          </w:p>
        </w:tc>
      </w:tr>
      <w:tr>
        <w:tblPrEx>
          <w:tblCellMar>
            <w:top w:w="0" w:type="dxa"/>
            <w:left w:w="108" w:type="dxa"/>
            <w:bottom w:w="0" w:type="dxa"/>
            <w:right w:w="108" w:type="dxa"/>
          </w:tblCellMar>
        </w:tblPrEx>
        <w:trPr>
          <w:trHeight w:val="1200"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11</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成交供应商员工服务期间要共同维护所在病房环境，保持安静、整洁、舒适、安全，如发现同病室患者突发病情变化或发现突发状况，迅速报告护士</w:t>
            </w:r>
          </w:p>
        </w:tc>
        <w:tc>
          <w:tcPr>
            <w:tcW w:w="3685" w:type="dxa"/>
            <w:tcBorders>
              <w:top w:val="single" w:color="000000" w:sz="4" w:space="0"/>
              <w:left w:val="single" w:color="000000" w:sz="4" w:space="0"/>
              <w:bottom w:val="single" w:color="000000" w:sz="4" w:space="0"/>
              <w:right w:val="single" w:color="000000" w:sz="4" w:space="0"/>
            </w:tcBorders>
            <w:noWrap/>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1人次未做到，根据事件大小扣罚10-50元。</w:t>
            </w:r>
          </w:p>
        </w:tc>
      </w:tr>
      <w:tr>
        <w:tblPrEx>
          <w:tblCellMar>
            <w:top w:w="0" w:type="dxa"/>
            <w:left w:w="108" w:type="dxa"/>
            <w:bottom w:w="0" w:type="dxa"/>
            <w:right w:w="108" w:type="dxa"/>
          </w:tblCellMar>
        </w:tblPrEx>
        <w:trPr>
          <w:trHeight w:val="786" w:hRule="atLeast"/>
        </w:trPr>
        <w:tc>
          <w:tcPr>
            <w:tcW w:w="959" w:type="dxa"/>
            <w:vMerge w:val="continue"/>
            <w:tcBorders>
              <w:top w:val="single" w:color="000000" w:sz="4" w:space="0"/>
              <w:left w:val="single" w:color="000000" w:sz="4" w:space="0"/>
              <w:bottom w:val="single" w:color="000000" w:sz="4" w:space="0"/>
              <w:right w:val="single" w:color="000000" w:sz="4" w:space="0"/>
            </w:tcBorders>
          </w:tcPr>
          <w:p>
            <w:pPr>
              <w:spacing w:before="624" w:beforeLines="200" w:line="360" w:lineRule="auto"/>
              <w:jc w:val="center"/>
              <w:rPr>
                <w:rFonts w:ascii="宋体" w:hAnsi="宋体" w:eastAsia="宋体" w:cs="宋体"/>
                <w:sz w:val="24"/>
                <w:szCs w:val="24"/>
              </w:rPr>
            </w:pPr>
          </w:p>
        </w:tc>
        <w:tc>
          <w:tcPr>
            <w:tcW w:w="850"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12</w:t>
            </w:r>
          </w:p>
        </w:tc>
        <w:tc>
          <w:tcPr>
            <w:tcW w:w="3686" w:type="dxa"/>
            <w:tcBorders>
              <w:top w:val="single" w:color="000000" w:sz="4" w:space="0"/>
              <w:left w:val="single" w:color="000000" w:sz="4" w:space="0"/>
              <w:bottom w:val="single" w:color="000000" w:sz="4" w:space="0"/>
              <w:right w:val="single" w:color="000000" w:sz="4" w:space="0"/>
            </w:tcBorders>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成交供应商员工服务期间必须服从所在科室护士长的管理和考核。</w:t>
            </w:r>
          </w:p>
        </w:tc>
        <w:tc>
          <w:tcPr>
            <w:tcW w:w="3685" w:type="dxa"/>
            <w:tcBorders>
              <w:top w:val="single" w:color="000000" w:sz="4" w:space="0"/>
              <w:left w:val="single" w:color="000000" w:sz="4" w:space="0"/>
              <w:bottom w:val="single" w:color="000000" w:sz="4" w:space="0"/>
              <w:right w:val="single" w:color="000000" w:sz="4" w:space="0"/>
            </w:tcBorders>
            <w:noWrap/>
          </w:tcPr>
          <w:p>
            <w:pPr>
              <w:widowControl/>
              <w:spacing w:before="624" w:beforeLines="200"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1人次不服从，扣罚50元。</w:t>
            </w:r>
          </w:p>
        </w:tc>
      </w:tr>
    </w:tbl>
    <w:p>
      <w:pPr>
        <w:spacing w:line="360" w:lineRule="auto"/>
        <w:rPr>
          <w:rFonts w:ascii="宋体" w:hAnsi="宋体" w:eastAsia="宋体" w:cs="宋体"/>
          <w:sz w:val="24"/>
          <w:szCs w:val="24"/>
        </w:rPr>
      </w:pPr>
      <w:r>
        <w:rPr>
          <w:rFonts w:hint="eastAsia" w:ascii="宋体" w:hAnsi="宋体" w:eastAsia="宋体" w:cs="宋体"/>
          <w:sz w:val="24"/>
          <w:szCs w:val="24"/>
        </w:rPr>
        <w:t>（三）、处罚条例</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(1)书面警告</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出现以下条款中任一条款时，采购人对成交方给予书面警告：</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①在未征得患者或家属同意的情况下强制提供特需服务，在一个月内因此被投诉超过3次或年投诉累计超过5次，经查确系成交供应商强制服务行为的。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②未能及时根据双方约定时间(超过规定时间24小时以上)提供经过培训的服务人员，在一个月内因此被投诉超过3次或年投诉累计超过6次，经查属实的。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③成交供应商派遣的服务人员行为不规范，如1年内出现2人次严重违反执业规范，如虐待患者，或出现讹诈、推销产品、干涉正常医供经过培训的服务人员，在一个月内因此被投诉超过3次或年投诉累计超过10次，经查属实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③成交供应商派遣的服务人员行为不规范，如1年内出现4人次严重违反执业规范，如虐待患者，或出现讹诈、推销产品、干涉正常医疗护理活动等行为，造成恶劣影响的。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④没有完全按照合同签订的相关项目、服务标准对患者提供服务，患者或家属满意度连续3次低于85%或年累计投诉超过20次的。疗护理活动等行为，造成恶劣影响的。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④没有完全按照合同签订的相关项目、服务标准对患者提供服务，患者或家属满意度连续2次低于85%或年总满意度低于85%或1个季度的投诉超过4次的。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(2)经济处罚</w:t>
      </w:r>
    </w:p>
    <w:p>
      <w:pPr>
        <w:spacing w:line="360" w:lineRule="auto"/>
        <w:ind w:firstLine="240" w:firstLineChars="100"/>
        <w:rPr>
          <w:rFonts w:ascii="宋体" w:hAnsi="宋体" w:eastAsia="宋体" w:cs="宋体"/>
          <w:sz w:val="24"/>
          <w:szCs w:val="24"/>
        </w:rPr>
      </w:pPr>
      <w:r>
        <w:rPr>
          <w:rFonts w:hint="eastAsia" w:ascii="宋体" w:hAnsi="宋体" w:eastAsia="宋体" w:cs="宋体"/>
          <w:sz w:val="24"/>
          <w:szCs w:val="24"/>
        </w:rPr>
        <w:t>对考核细则中的考核标准，未达到考核标准扣罚标准进行经济处罚，处罚金按月上交采购人。</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(3)终止合同</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出现以下条款中任一条款时，采购人有权终止合同：</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①在未征得患者或家属同意的情况下强制提供特需服务，在一个月内因此被投诉超过4次或年投诉累计超过10次，经查确系成交供应商强制服务行为的。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②未能及时根据双方约定时间(超过规定时间24小时以上)提供经过培训的服务人员，在一个月内因此被投诉超过3次或年投诉累计超过10次，经查属实的。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③成交供应商派遣的服务人员行为不规范，如1年内出现4人次严重违反执业规范，如虐待患者，或出现讹诈、推销产品、干涉正常医疗护理活动等行为，造成恶劣影响的。</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④没有完全按照合同签订的相关项目、服务标准对患者提供服务，患者或家属满意度连续3次低于85%或年累计投诉超过20次的。</w:t>
      </w: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评标办法：</w:t>
      </w:r>
    </w:p>
    <w:p>
      <w:pPr>
        <w:spacing w:line="360" w:lineRule="auto"/>
        <w:ind w:firstLine="480" w:firstLineChars="200"/>
        <w:rPr>
          <w:rFonts w:ascii="宋体" w:hAnsi="宋体" w:eastAsia="宋体" w:cs="宋体"/>
          <w:sz w:val="24"/>
          <w:szCs w:val="24"/>
        </w:rPr>
      </w:pPr>
    </w:p>
    <w:tbl>
      <w:tblPr>
        <w:tblStyle w:val="16"/>
        <w:tblW w:w="8531"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2"/>
        <w:gridCol w:w="72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snapToGrid w:val="0"/>
              <w:spacing w:line="288" w:lineRule="auto"/>
              <w:jc w:val="center"/>
              <w:rPr>
                <w:rFonts w:ascii="宋体" w:hAnsi="宋体" w:cs="宋体"/>
                <w:b/>
                <w:sz w:val="24"/>
              </w:rPr>
            </w:pPr>
            <w:r>
              <w:rPr>
                <w:rFonts w:hint="eastAsia" w:ascii="宋体" w:hAnsi="宋体" w:cs="宋体"/>
                <w:b/>
                <w:sz w:val="24"/>
              </w:rPr>
              <w:t>评分因素</w:t>
            </w:r>
          </w:p>
        </w:tc>
        <w:tc>
          <w:tcPr>
            <w:tcW w:w="7229" w:type="dxa"/>
            <w:vAlign w:val="center"/>
          </w:tcPr>
          <w:p>
            <w:pPr>
              <w:widowControl/>
              <w:snapToGrid w:val="0"/>
              <w:spacing w:line="288" w:lineRule="auto"/>
              <w:jc w:val="center"/>
              <w:rPr>
                <w:rFonts w:ascii="宋体" w:hAnsi="宋体" w:cs="宋体"/>
                <w:b/>
                <w:kern w:val="0"/>
                <w:sz w:val="24"/>
              </w:rPr>
            </w:pPr>
            <w:r>
              <w:rPr>
                <w:rFonts w:hint="eastAsia" w:ascii="宋体" w:hAnsi="宋体" w:cs="宋体"/>
                <w:b/>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widowControl/>
              <w:adjustRightInd w:val="0"/>
              <w:snapToGrid w:val="0"/>
              <w:spacing w:line="288" w:lineRule="auto"/>
              <w:jc w:val="center"/>
              <w:rPr>
                <w:rFonts w:ascii="宋体" w:hAnsi="宋体" w:eastAsia="宋体" w:cs="宋体"/>
                <w:sz w:val="24"/>
                <w:szCs w:val="24"/>
              </w:rPr>
            </w:pPr>
            <w:r>
              <w:rPr>
                <w:rFonts w:hint="eastAsia" w:ascii="宋体" w:hAnsi="宋体" w:eastAsia="宋体" w:cs="宋体"/>
                <w:sz w:val="24"/>
                <w:szCs w:val="24"/>
              </w:rPr>
              <w:t>技术服务需求响应情况</w:t>
            </w:r>
          </w:p>
          <w:p>
            <w:pPr>
              <w:widowControl/>
              <w:adjustRightInd w:val="0"/>
              <w:snapToGrid w:val="0"/>
              <w:spacing w:line="288" w:lineRule="auto"/>
              <w:jc w:val="center"/>
              <w:rPr>
                <w:rFonts w:ascii="宋体" w:hAnsi="宋体" w:eastAsia="宋体" w:cs="宋体"/>
                <w:sz w:val="24"/>
              </w:rPr>
            </w:pPr>
            <w:r>
              <w:rPr>
                <w:rFonts w:hint="eastAsia" w:ascii="宋体" w:hAnsi="宋体" w:eastAsia="宋体" w:cs="宋体"/>
                <w:sz w:val="24"/>
                <w:szCs w:val="24"/>
              </w:rPr>
              <w:t>（20分）</w:t>
            </w:r>
          </w:p>
        </w:tc>
        <w:tc>
          <w:tcPr>
            <w:tcW w:w="7229" w:type="dxa"/>
            <w:vAlign w:val="center"/>
          </w:tcPr>
          <w:p>
            <w:pPr>
              <w:snapToGrid w:val="0"/>
              <w:spacing w:line="360" w:lineRule="auto"/>
              <w:ind w:left="-38"/>
              <w:rPr>
                <w:rFonts w:ascii="宋体" w:hAnsi="宋体" w:cs="宋体"/>
                <w:sz w:val="24"/>
              </w:rPr>
            </w:pPr>
            <w:r>
              <w:rPr>
                <w:rFonts w:hint="eastAsia" w:ascii="宋体" w:hAnsi="宋体" w:eastAsia="宋体" w:cs="宋体"/>
                <w:sz w:val="24"/>
                <w:szCs w:val="24"/>
              </w:rPr>
              <w:t>评审小组根据投标人技术服务需求的响应情况进行评分，投标人无条件完全响应第三章采购需求中所有服务条款的，得20分，每负偏离一项扣2分，扣完为止。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pStyle w:val="38"/>
              <w:adjustRightInd w:val="0"/>
              <w:snapToGrid w:val="0"/>
              <w:spacing w:line="360" w:lineRule="auto"/>
              <w:jc w:val="center"/>
              <w:rPr>
                <w:sz w:val="24"/>
                <w:szCs w:val="24"/>
              </w:rPr>
            </w:pPr>
            <w:r>
              <w:rPr>
                <w:rFonts w:hint="eastAsia"/>
                <w:spacing w:val="9"/>
                <w:sz w:val="24"/>
                <w:szCs w:val="24"/>
              </w:rPr>
              <w:t>供</w:t>
            </w:r>
            <w:r>
              <w:rPr>
                <w:rFonts w:hint="eastAsia"/>
                <w:spacing w:val="7"/>
                <w:sz w:val="24"/>
                <w:szCs w:val="24"/>
              </w:rPr>
              <w:t>应商业</w:t>
            </w:r>
            <w:r>
              <w:rPr>
                <w:rFonts w:hint="eastAsia"/>
                <w:sz w:val="24"/>
                <w:szCs w:val="24"/>
              </w:rPr>
              <w:t>绩（</w:t>
            </w:r>
            <w:r>
              <w:rPr>
                <w:rFonts w:hint="eastAsia"/>
                <w:sz w:val="24"/>
                <w:szCs w:val="24"/>
                <w:lang w:val="en-US"/>
              </w:rPr>
              <w:t>15分</w:t>
            </w:r>
            <w:r>
              <w:rPr>
                <w:rFonts w:hint="eastAsia"/>
                <w:sz w:val="24"/>
                <w:szCs w:val="24"/>
              </w:rPr>
              <w:t>）</w:t>
            </w:r>
          </w:p>
        </w:tc>
        <w:tc>
          <w:tcPr>
            <w:tcW w:w="7229" w:type="dxa"/>
            <w:vAlign w:val="center"/>
          </w:tcPr>
          <w:p>
            <w:pPr>
              <w:tabs>
                <w:tab w:val="left" w:pos="138"/>
              </w:tabs>
              <w:spacing w:line="360" w:lineRule="auto"/>
              <w:rPr>
                <w:rFonts w:ascii="宋体" w:hAnsi="宋体" w:eastAsia="宋体" w:cs="宋体"/>
                <w:color w:val="auto"/>
                <w:spacing w:val="-5"/>
                <w:sz w:val="24"/>
                <w:szCs w:val="24"/>
              </w:rPr>
            </w:pPr>
            <w:r>
              <w:rPr>
                <w:rFonts w:hint="eastAsia" w:ascii="宋体" w:hAnsi="宋体" w:eastAsia="宋体" w:cs="宋体"/>
                <w:spacing w:val="-8"/>
                <w:sz w:val="24"/>
                <w:szCs w:val="24"/>
              </w:rPr>
              <w:t>自2020年1月1日(含)以来(以合同签订日期为准</w:t>
            </w:r>
            <w:r>
              <w:rPr>
                <w:rFonts w:hint="eastAsia" w:ascii="宋体" w:hAnsi="宋体" w:eastAsia="宋体" w:cs="宋体"/>
                <w:spacing w:val="-4"/>
                <w:sz w:val="24"/>
                <w:szCs w:val="24"/>
              </w:rPr>
              <w:t>，</w:t>
            </w:r>
            <w:r>
              <w:rPr>
                <w:rFonts w:hint="eastAsia" w:ascii="宋体" w:hAnsi="宋体" w:eastAsia="宋体" w:cs="宋体"/>
                <w:spacing w:val="16"/>
                <w:sz w:val="24"/>
                <w:szCs w:val="24"/>
              </w:rPr>
              <w:t>无</w:t>
            </w:r>
            <w:r>
              <w:rPr>
                <w:rFonts w:hint="eastAsia" w:ascii="宋体" w:hAnsi="宋体" w:eastAsia="宋体" w:cs="宋体"/>
                <w:spacing w:val="9"/>
                <w:sz w:val="24"/>
                <w:szCs w:val="24"/>
              </w:rPr>
              <w:t>合同签订日期磋商小组不予计分)</w:t>
            </w:r>
            <w:r>
              <w:rPr>
                <w:rFonts w:hint="eastAsia" w:ascii="宋体" w:hAnsi="宋体" w:eastAsia="宋体" w:cs="宋体"/>
                <w:color w:val="auto"/>
                <w:spacing w:val="9"/>
                <w:sz w:val="24"/>
                <w:szCs w:val="24"/>
              </w:rPr>
              <w:t>供应商承担的</w:t>
            </w:r>
            <w:r>
              <w:rPr>
                <w:rFonts w:hint="eastAsia" w:ascii="宋体" w:hAnsi="宋体" w:eastAsia="宋体" w:cs="宋体"/>
                <w:color w:val="auto"/>
                <w:spacing w:val="8"/>
                <w:sz w:val="24"/>
                <w:szCs w:val="24"/>
              </w:rPr>
              <w:t>医院护理员或育婴师类似服务业绩。提供1个符合要求</w:t>
            </w:r>
            <w:r>
              <w:rPr>
                <w:rFonts w:hint="eastAsia" w:ascii="宋体" w:hAnsi="宋体" w:eastAsia="宋体" w:cs="宋体"/>
                <w:color w:val="auto"/>
                <w:spacing w:val="-1"/>
                <w:sz w:val="24"/>
                <w:szCs w:val="24"/>
              </w:rPr>
              <w:t>的业绩，得3</w:t>
            </w:r>
            <w:r>
              <w:rPr>
                <w:rFonts w:hint="eastAsia" w:ascii="宋体" w:hAnsi="宋体" w:eastAsia="宋体" w:cs="宋体"/>
                <w:color w:val="auto"/>
                <w:sz w:val="24"/>
                <w:szCs w:val="24"/>
              </w:rPr>
              <w:t>分，</w:t>
            </w:r>
            <w:r>
              <w:rPr>
                <w:rFonts w:hint="eastAsia" w:ascii="宋体" w:hAnsi="宋体" w:eastAsia="宋体" w:cs="宋体"/>
                <w:color w:val="auto"/>
                <w:spacing w:val="-5"/>
                <w:sz w:val="24"/>
                <w:szCs w:val="24"/>
              </w:rPr>
              <w:t>本项满分15分。</w:t>
            </w:r>
          </w:p>
          <w:p>
            <w:pPr>
              <w:pStyle w:val="38"/>
              <w:adjustRightInd w:val="0"/>
              <w:snapToGrid w:val="0"/>
              <w:spacing w:line="360" w:lineRule="auto"/>
              <w:rPr>
                <w:bCs/>
                <w:sz w:val="24"/>
                <w:szCs w:val="24"/>
                <w:lang w:val="en-US"/>
              </w:rPr>
            </w:pPr>
            <w:r>
              <w:rPr>
                <w:rFonts w:hint="eastAsia"/>
                <w:color w:val="auto"/>
                <w:spacing w:val="-5"/>
                <w:sz w:val="24"/>
                <w:szCs w:val="24"/>
                <w:highlight w:val="none"/>
                <w:lang w:val="en-US"/>
              </w:rPr>
              <w:t>注：提供业绩合同（协议）复印件。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Merge w:val="restart"/>
            <w:vAlign w:val="center"/>
          </w:tcPr>
          <w:p>
            <w:pPr>
              <w:pStyle w:val="38"/>
              <w:adjustRightInd w:val="0"/>
              <w:snapToGrid w:val="0"/>
              <w:spacing w:line="360" w:lineRule="auto"/>
              <w:jc w:val="center"/>
              <w:rPr>
                <w:sz w:val="24"/>
                <w:szCs w:val="24"/>
                <w:lang w:val="en-US"/>
              </w:rPr>
            </w:pPr>
            <w:r>
              <w:rPr>
                <w:rFonts w:hint="eastAsia"/>
                <w:sz w:val="24"/>
                <w:szCs w:val="24"/>
                <w:lang w:val="en-US"/>
              </w:rPr>
              <w:t>服务方案</w:t>
            </w:r>
          </w:p>
          <w:p>
            <w:pPr>
              <w:pStyle w:val="38"/>
              <w:adjustRightInd w:val="0"/>
              <w:snapToGrid w:val="0"/>
              <w:spacing w:line="360" w:lineRule="auto"/>
              <w:jc w:val="center"/>
              <w:rPr>
                <w:sz w:val="24"/>
                <w:szCs w:val="24"/>
                <w:lang w:val="en-US"/>
              </w:rPr>
            </w:pPr>
            <w:r>
              <w:rPr>
                <w:rFonts w:hint="eastAsia"/>
                <w:sz w:val="24"/>
                <w:szCs w:val="24"/>
                <w:lang w:val="en-US"/>
              </w:rPr>
              <w:t>（31分）</w:t>
            </w:r>
          </w:p>
        </w:tc>
        <w:tc>
          <w:tcPr>
            <w:tcW w:w="7229" w:type="dxa"/>
            <w:vAlign w:val="center"/>
          </w:tcPr>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1、根据供应商针对本项目人员管理方案进行评分：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(1)管理制度完善，明确岗位职责、工作内容，规范服务行为，有相应的工作奖惩激励措施，并有制度规范确保奖惩落实到位、调配机制科学合理，操作性强的，得</w:t>
            </w:r>
            <w:r>
              <w:rPr>
                <w:rFonts w:hint="eastAsia" w:ascii="宋体" w:hAnsi="宋体" w:cs="宋体"/>
                <w:sz w:val="24"/>
                <w:szCs w:val="24"/>
              </w:rPr>
              <w:t>10</w:t>
            </w:r>
            <w:r>
              <w:rPr>
                <w:rFonts w:hint="eastAsia" w:ascii="宋体" w:hAnsi="宋体" w:eastAsia="宋体" w:cs="宋体"/>
                <w:sz w:val="24"/>
                <w:szCs w:val="24"/>
              </w:rPr>
              <w:t>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(2)管理制度较为完善，内容基本全面、调配机制较为合理，具有一定操作性的，得</w:t>
            </w:r>
            <w:r>
              <w:rPr>
                <w:rFonts w:hint="eastAsia" w:ascii="宋体" w:hAnsi="宋体" w:cs="宋体"/>
                <w:sz w:val="24"/>
                <w:szCs w:val="24"/>
              </w:rPr>
              <w:t>7</w:t>
            </w:r>
            <w:r>
              <w:rPr>
                <w:rFonts w:hint="eastAsia" w:ascii="宋体" w:hAnsi="宋体" w:eastAsia="宋体" w:cs="宋体"/>
                <w:sz w:val="24"/>
                <w:szCs w:val="24"/>
              </w:rPr>
              <w:t>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(3)管理制度和培训内容基本满足本项目需求，但细节有待完善的，得3分；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(4)未提供的不得分。</w:t>
            </w:r>
          </w:p>
          <w:p>
            <w:pPr>
              <w:wordWrap w:val="0"/>
              <w:topLinePunct/>
              <w:spacing w:line="360" w:lineRule="auto"/>
              <w:jc w:val="left"/>
              <w:rPr>
                <w:bCs/>
                <w:sz w:val="24"/>
                <w:szCs w:val="24"/>
              </w:rPr>
            </w:pPr>
            <w:r>
              <w:rPr>
                <w:rFonts w:hint="eastAsia" w:ascii="宋体" w:hAnsi="宋体" w:eastAsia="宋体" w:cs="宋体"/>
                <w:sz w:val="24"/>
                <w:szCs w:val="24"/>
              </w:rPr>
              <w:t>本小项满分</w:t>
            </w:r>
            <w:r>
              <w:rPr>
                <w:rFonts w:hint="eastAsia" w:ascii="宋体" w:hAnsi="宋体" w:cs="宋体"/>
                <w:sz w:val="24"/>
                <w:szCs w:val="24"/>
              </w:rPr>
              <w:t>10</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1302" w:type="dxa"/>
            <w:vMerge w:val="continue"/>
            <w:vAlign w:val="center"/>
          </w:tcPr>
          <w:p>
            <w:pPr>
              <w:pStyle w:val="38"/>
              <w:adjustRightInd w:val="0"/>
              <w:snapToGrid w:val="0"/>
              <w:spacing w:line="360" w:lineRule="auto"/>
              <w:jc w:val="center"/>
              <w:rPr>
                <w:sz w:val="24"/>
                <w:szCs w:val="24"/>
              </w:rPr>
            </w:pPr>
          </w:p>
        </w:tc>
        <w:tc>
          <w:tcPr>
            <w:tcW w:w="7229" w:type="dxa"/>
            <w:vAlign w:val="center"/>
          </w:tcPr>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2、根据供应商针对本项目的进退场交接方案进行评分：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(1)进退场交接方案内容合理、条理清晰，可操作性强的，得5分；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(2)进退交接方案内容基本全面，具有一定操作性的，得3分；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(3)进退交接方案基本满足本项目需求，但有待完善的，得1分；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(4)未提供不得分。</w:t>
            </w:r>
          </w:p>
          <w:p>
            <w:pPr>
              <w:wordWrap w:val="0"/>
              <w:topLinePunct/>
              <w:spacing w:line="360" w:lineRule="auto"/>
              <w:jc w:val="left"/>
              <w:rPr>
                <w:bCs/>
                <w:sz w:val="24"/>
                <w:szCs w:val="24"/>
              </w:rPr>
            </w:pPr>
            <w:r>
              <w:rPr>
                <w:rFonts w:hint="eastAsia" w:ascii="宋体" w:hAnsi="宋体" w:eastAsia="宋体" w:cs="宋体"/>
                <w:sz w:val="24"/>
                <w:szCs w:val="24"/>
              </w:rPr>
              <w:t>本小项满分5分。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1302" w:type="dxa"/>
            <w:vMerge w:val="continue"/>
            <w:vAlign w:val="center"/>
          </w:tcPr>
          <w:p>
            <w:pPr>
              <w:pStyle w:val="38"/>
              <w:adjustRightInd w:val="0"/>
              <w:snapToGrid w:val="0"/>
              <w:spacing w:line="360" w:lineRule="auto"/>
              <w:jc w:val="center"/>
              <w:rPr>
                <w:sz w:val="24"/>
                <w:szCs w:val="24"/>
              </w:rPr>
            </w:pPr>
          </w:p>
        </w:tc>
        <w:tc>
          <w:tcPr>
            <w:tcW w:w="7229" w:type="dxa"/>
            <w:vAlign w:val="center"/>
          </w:tcPr>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3、根据供应商针对本项目人员培训方案进行评分：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(1)提供的服务人员岗前培训方案和在岗持续培训方案完整内容详细，可操作性强的，得</w:t>
            </w:r>
            <w:r>
              <w:rPr>
                <w:rFonts w:hint="eastAsia" w:ascii="宋体" w:hAnsi="宋体" w:cs="宋体"/>
                <w:sz w:val="24"/>
                <w:szCs w:val="24"/>
              </w:rPr>
              <w:t>5</w:t>
            </w:r>
            <w:r>
              <w:rPr>
                <w:rFonts w:hint="eastAsia" w:ascii="宋体" w:hAnsi="宋体" w:eastAsia="宋体" w:cs="宋体"/>
                <w:sz w:val="24"/>
                <w:szCs w:val="24"/>
              </w:rPr>
              <w:t>分；</w:t>
            </w:r>
          </w:p>
          <w:p>
            <w:pPr>
              <w:wordWrap w:val="0"/>
              <w:topLinePunct/>
              <w:spacing w:line="360" w:lineRule="auto"/>
              <w:jc w:val="left"/>
              <w:rPr>
                <w:rFonts w:ascii="宋体" w:hAnsi="宋体" w:eastAsia="宋体" w:cs="宋体"/>
                <w:sz w:val="24"/>
                <w:szCs w:val="24"/>
              </w:rPr>
            </w:pPr>
            <w:r>
              <w:rPr>
                <w:rFonts w:hint="eastAsia" w:ascii="宋体" w:hAnsi="宋体" w:eastAsia="宋体" w:cs="宋体"/>
                <w:sz w:val="24"/>
                <w:szCs w:val="24"/>
              </w:rPr>
              <w:t>(2)提供的服务人员岗前培训方案和在岗持续培训方案较为完善，内容基本全面，具有一定操作性的，得</w:t>
            </w:r>
            <w:r>
              <w:rPr>
                <w:rFonts w:hint="eastAsia" w:ascii="宋体" w:hAnsi="宋体" w:cs="宋体"/>
                <w:sz w:val="24"/>
                <w:szCs w:val="24"/>
              </w:rPr>
              <w:t>2</w:t>
            </w:r>
            <w:r>
              <w:rPr>
                <w:rFonts w:hint="eastAsia" w:ascii="宋体" w:hAnsi="宋体" w:eastAsia="宋体" w:cs="宋体"/>
                <w:sz w:val="24"/>
                <w:szCs w:val="24"/>
              </w:rPr>
              <w:t>分；</w:t>
            </w:r>
          </w:p>
          <w:p>
            <w:pPr>
              <w:wordWrap w:val="0"/>
              <w:topLinePunct/>
              <w:spacing w:line="360" w:lineRule="auto"/>
              <w:ind w:hanging="9"/>
              <w:jc w:val="left"/>
              <w:rPr>
                <w:rFonts w:ascii="宋体" w:hAnsi="宋体" w:eastAsia="宋体" w:cs="宋体"/>
                <w:sz w:val="24"/>
                <w:szCs w:val="24"/>
              </w:rPr>
            </w:pPr>
            <w:r>
              <w:rPr>
                <w:rFonts w:hint="eastAsia" w:ascii="宋体" w:hAnsi="宋体" w:eastAsia="宋体" w:cs="宋体"/>
                <w:sz w:val="24"/>
                <w:szCs w:val="24"/>
              </w:rPr>
              <w:t>(3)提供的服务人员岗前培训方案和在岗持续培训方</w:t>
            </w:r>
            <w:r>
              <w:rPr>
                <w:rFonts w:hint="eastAsia" w:ascii="宋体" w:hAnsi="宋体" w:eastAsia="宋体" w:cs="宋体"/>
                <w:spacing w:val="1"/>
                <w:sz w:val="24"/>
                <w:szCs w:val="24"/>
              </w:rPr>
              <w:t>案基本满足本项目需求，</w:t>
            </w:r>
            <w:r>
              <w:rPr>
                <w:rFonts w:hint="eastAsia" w:ascii="宋体" w:hAnsi="宋体" w:eastAsia="宋体" w:cs="宋体"/>
                <w:sz w:val="24"/>
                <w:szCs w:val="24"/>
              </w:rPr>
              <w:t>但细节有待完善的，得1分；</w:t>
            </w:r>
          </w:p>
          <w:p>
            <w:pPr>
              <w:wordWrap w:val="0"/>
              <w:topLinePunct/>
              <w:spacing w:line="360" w:lineRule="auto"/>
              <w:ind w:hanging="9"/>
              <w:jc w:val="left"/>
              <w:rPr>
                <w:rFonts w:ascii="宋体" w:hAnsi="宋体" w:eastAsia="宋体" w:cs="宋体"/>
                <w:sz w:val="24"/>
                <w:szCs w:val="24"/>
              </w:rPr>
            </w:pPr>
            <w:r>
              <w:rPr>
                <w:rFonts w:hint="eastAsia" w:ascii="宋体" w:hAnsi="宋体" w:eastAsia="宋体" w:cs="宋体"/>
                <w:spacing w:val="19"/>
                <w:sz w:val="24"/>
                <w:szCs w:val="24"/>
              </w:rPr>
              <w:t>(</w:t>
            </w:r>
            <w:r>
              <w:rPr>
                <w:rFonts w:hint="eastAsia" w:ascii="宋体" w:hAnsi="宋体" w:eastAsia="宋体" w:cs="宋体"/>
                <w:spacing w:val="14"/>
                <w:sz w:val="24"/>
                <w:szCs w:val="24"/>
              </w:rPr>
              <w:t>4)未提供的不得分。</w:t>
            </w:r>
          </w:p>
          <w:p>
            <w:pPr>
              <w:wordWrap w:val="0"/>
              <w:topLinePunct/>
              <w:spacing w:line="360" w:lineRule="auto"/>
              <w:jc w:val="left"/>
              <w:rPr>
                <w:bCs/>
                <w:sz w:val="24"/>
                <w:szCs w:val="24"/>
              </w:rPr>
            </w:pPr>
            <w:r>
              <w:rPr>
                <w:rFonts w:hint="eastAsia" w:ascii="宋体" w:hAnsi="宋体" w:eastAsia="宋体" w:cs="宋体"/>
                <w:spacing w:val="-8"/>
                <w:sz w:val="24"/>
                <w:szCs w:val="24"/>
              </w:rPr>
              <w:t>本</w:t>
            </w:r>
            <w:r>
              <w:rPr>
                <w:rFonts w:hint="eastAsia" w:ascii="宋体" w:hAnsi="宋体" w:eastAsia="宋体" w:cs="宋体"/>
                <w:spacing w:val="-7"/>
                <w:sz w:val="24"/>
                <w:szCs w:val="24"/>
              </w:rPr>
              <w:t>小</w:t>
            </w:r>
            <w:r>
              <w:rPr>
                <w:rFonts w:hint="eastAsia" w:ascii="宋体" w:hAnsi="宋体" w:eastAsia="宋体" w:cs="宋体"/>
                <w:spacing w:val="-4"/>
                <w:sz w:val="24"/>
                <w:szCs w:val="24"/>
              </w:rPr>
              <w:t>项满分</w:t>
            </w:r>
            <w:r>
              <w:rPr>
                <w:rFonts w:hint="eastAsia" w:ascii="宋体" w:hAnsi="宋体" w:cs="宋体"/>
                <w:spacing w:val="-4"/>
                <w:sz w:val="24"/>
                <w:szCs w:val="24"/>
              </w:rPr>
              <w:t>5</w:t>
            </w:r>
            <w:r>
              <w:rPr>
                <w:rFonts w:hint="eastAsia" w:ascii="宋体" w:hAnsi="宋体" w:eastAsia="宋体" w:cs="宋体"/>
                <w:spacing w:val="-4"/>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1302" w:type="dxa"/>
            <w:vMerge w:val="continue"/>
            <w:vAlign w:val="center"/>
          </w:tcPr>
          <w:p>
            <w:pPr>
              <w:pStyle w:val="38"/>
              <w:adjustRightInd w:val="0"/>
              <w:snapToGrid w:val="0"/>
              <w:spacing w:line="360" w:lineRule="auto"/>
              <w:jc w:val="center"/>
              <w:rPr>
                <w:sz w:val="24"/>
                <w:szCs w:val="24"/>
              </w:rPr>
            </w:pPr>
          </w:p>
        </w:tc>
        <w:tc>
          <w:tcPr>
            <w:tcW w:w="7229" w:type="dxa"/>
            <w:vAlign w:val="center"/>
          </w:tcPr>
          <w:p>
            <w:pPr>
              <w:tabs>
                <w:tab w:val="left" w:pos="138"/>
              </w:tabs>
              <w:wordWrap w:val="0"/>
              <w:topLinePunct/>
              <w:spacing w:line="360" w:lineRule="auto"/>
              <w:ind w:firstLine="2"/>
              <w:jc w:val="left"/>
              <w:rPr>
                <w:rFonts w:ascii="宋体" w:hAnsi="宋体" w:eastAsia="宋体" w:cs="宋体"/>
                <w:sz w:val="24"/>
                <w:szCs w:val="24"/>
              </w:rPr>
            </w:pPr>
            <w:r>
              <w:rPr>
                <w:rFonts w:hint="eastAsia" w:ascii="宋体" w:hAnsi="宋体" w:eastAsia="宋体" w:cs="宋体"/>
                <w:spacing w:val="10"/>
                <w:sz w:val="24"/>
                <w:szCs w:val="24"/>
              </w:rPr>
              <w:t>4、根据供应商针对本项目的服务人员稳定性保障方</w:t>
            </w:r>
            <w:r>
              <w:rPr>
                <w:rFonts w:hint="eastAsia" w:ascii="宋体" w:hAnsi="宋体" w:eastAsia="宋体" w:cs="宋体"/>
                <w:spacing w:val="9"/>
                <w:sz w:val="24"/>
                <w:szCs w:val="24"/>
              </w:rPr>
              <w:t>案</w:t>
            </w:r>
            <w:r>
              <w:rPr>
                <w:rFonts w:hint="eastAsia" w:ascii="宋体" w:hAnsi="宋体" w:eastAsia="宋体" w:cs="宋体"/>
                <w:spacing w:val="15"/>
                <w:sz w:val="24"/>
                <w:szCs w:val="24"/>
              </w:rPr>
              <w:t>(包括但不限于新增人员、缺岗替补人员、人员流动</w:t>
            </w:r>
            <w:r>
              <w:rPr>
                <w:rFonts w:hint="eastAsia" w:ascii="宋体" w:hAnsi="宋体" w:eastAsia="宋体" w:cs="宋体"/>
                <w:spacing w:val="8"/>
                <w:sz w:val="24"/>
                <w:szCs w:val="24"/>
              </w:rPr>
              <w:t>率</w:t>
            </w:r>
            <w:r>
              <w:rPr>
                <w:rFonts w:hint="eastAsia" w:ascii="宋体" w:hAnsi="宋体" w:eastAsia="宋体" w:cs="宋体"/>
                <w:spacing w:val="7"/>
                <w:sz w:val="24"/>
                <w:szCs w:val="24"/>
              </w:rPr>
              <w:t>承诺)进行评分：</w:t>
            </w:r>
          </w:p>
          <w:p>
            <w:pPr>
              <w:wordWrap w:val="0"/>
              <w:topLinePunct/>
              <w:spacing w:line="360" w:lineRule="auto"/>
              <w:ind w:firstLine="11"/>
              <w:jc w:val="left"/>
              <w:rPr>
                <w:rFonts w:ascii="宋体" w:hAnsi="宋体" w:eastAsia="宋体" w:cs="宋体"/>
                <w:sz w:val="24"/>
                <w:szCs w:val="24"/>
              </w:rPr>
            </w:pPr>
            <w:r>
              <w:rPr>
                <w:rFonts w:hint="eastAsia" w:ascii="宋体" w:hAnsi="宋体" w:eastAsia="宋体" w:cs="宋体"/>
                <w:spacing w:val="19"/>
                <w:sz w:val="24"/>
                <w:szCs w:val="24"/>
              </w:rPr>
              <w:t>(</w:t>
            </w:r>
            <w:r>
              <w:rPr>
                <w:rFonts w:hint="eastAsia" w:ascii="宋体" w:hAnsi="宋体" w:eastAsia="宋体" w:cs="宋体"/>
                <w:spacing w:val="13"/>
                <w:sz w:val="24"/>
                <w:szCs w:val="24"/>
              </w:rPr>
              <w:t>1)服务人员稳定性保障方案合理周密，时限标准明</w:t>
            </w:r>
            <w:r>
              <w:rPr>
                <w:rFonts w:hint="eastAsia" w:ascii="宋体" w:hAnsi="宋体" w:eastAsia="宋体" w:cs="宋体"/>
                <w:spacing w:val="-2"/>
                <w:sz w:val="24"/>
                <w:szCs w:val="24"/>
              </w:rPr>
              <w:t>确</w:t>
            </w:r>
            <w:r>
              <w:rPr>
                <w:rFonts w:hint="eastAsia" w:ascii="宋体" w:hAnsi="宋体" w:eastAsia="宋体" w:cs="宋体"/>
                <w:spacing w:val="-1"/>
                <w:sz w:val="24"/>
                <w:szCs w:val="24"/>
              </w:rPr>
              <w:t>，切实可行的，得6分；</w:t>
            </w:r>
          </w:p>
          <w:p>
            <w:pPr>
              <w:wordWrap w:val="0"/>
              <w:topLinePunct/>
              <w:spacing w:line="360" w:lineRule="auto"/>
              <w:ind w:firstLine="9"/>
              <w:jc w:val="left"/>
              <w:rPr>
                <w:rFonts w:ascii="宋体" w:hAnsi="宋体" w:eastAsia="宋体" w:cs="宋体"/>
                <w:sz w:val="24"/>
                <w:szCs w:val="24"/>
              </w:rPr>
            </w:pPr>
            <w:r>
              <w:rPr>
                <w:rFonts w:hint="eastAsia" w:ascii="宋体" w:hAnsi="宋体" w:eastAsia="宋体" w:cs="宋体"/>
                <w:spacing w:val="19"/>
                <w:sz w:val="24"/>
                <w:szCs w:val="24"/>
              </w:rPr>
              <w:t>(</w:t>
            </w:r>
            <w:r>
              <w:rPr>
                <w:rFonts w:hint="eastAsia" w:ascii="宋体" w:hAnsi="宋体" w:eastAsia="宋体" w:cs="宋体"/>
                <w:spacing w:val="13"/>
                <w:sz w:val="24"/>
                <w:szCs w:val="24"/>
              </w:rPr>
              <w:t>2)服务人员稳定性控保障案较为合理周密，时限标</w:t>
            </w:r>
            <w:r>
              <w:rPr>
                <w:rFonts w:hint="eastAsia" w:ascii="宋体" w:hAnsi="宋体" w:eastAsia="宋体" w:cs="宋体"/>
                <w:spacing w:val="3"/>
                <w:sz w:val="24"/>
                <w:szCs w:val="24"/>
              </w:rPr>
              <w:t>准较为明确，具有一定可操作性的，得4分</w:t>
            </w:r>
            <w:r>
              <w:rPr>
                <w:rFonts w:hint="eastAsia" w:ascii="宋体" w:hAnsi="宋体" w:eastAsia="宋体" w:cs="宋体"/>
                <w:sz w:val="24"/>
                <w:szCs w:val="24"/>
              </w:rPr>
              <w:t>；</w:t>
            </w:r>
          </w:p>
          <w:p>
            <w:pPr>
              <w:wordWrap w:val="0"/>
              <w:topLinePunct/>
              <w:spacing w:line="360" w:lineRule="auto"/>
              <w:ind w:hanging="8"/>
              <w:jc w:val="left"/>
              <w:rPr>
                <w:rFonts w:ascii="宋体" w:hAnsi="宋体" w:eastAsia="宋体" w:cs="宋体"/>
                <w:sz w:val="24"/>
                <w:szCs w:val="24"/>
              </w:rPr>
            </w:pPr>
            <w:r>
              <w:rPr>
                <w:rFonts w:hint="eastAsia" w:ascii="宋体" w:hAnsi="宋体" w:eastAsia="宋体" w:cs="宋体"/>
                <w:spacing w:val="19"/>
                <w:sz w:val="24"/>
                <w:szCs w:val="24"/>
              </w:rPr>
              <w:t>(</w:t>
            </w:r>
            <w:r>
              <w:rPr>
                <w:rFonts w:hint="eastAsia" w:ascii="宋体" w:hAnsi="宋体" w:eastAsia="宋体" w:cs="宋体"/>
                <w:spacing w:val="13"/>
                <w:sz w:val="24"/>
                <w:szCs w:val="24"/>
              </w:rPr>
              <w:t>3)服务人员稳定性控保障案基本合理，细节待完善</w:t>
            </w:r>
            <w:r>
              <w:rPr>
                <w:rFonts w:hint="eastAsia" w:ascii="宋体" w:hAnsi="宋体" w:eastAsia="宋体" w:cs="宋体"/>
                <w:spacing w:val="-26"/>
                <w:sz w:val="24"/>
                <w:szCs w:val="24"/>
              </w:rPr>
              <w:t>的</w:t>
            </w:r>
            <w:r>
              <w:rPr>
                <w:rFonts w:hint="eastAsia" w:ascii="宋体" w:hAnsi="宋体" w:eastAsia="宋体" w:cs="宋体"/>
                <w:spacing w:val="-23"/>
                <w:sz w:val="24"/>
                <w:szCs w:val="24"/>
              </w:rPr>
              <w:t>，得2分；</w:t>
            </w:r>
          </w:p>
          <w:p>
            <w:pPr>
              <w:wordWrap w:val="0"/>
              <w:topLinePunct/>
              <w:spacing w:line="360" w:lineRule="auto"/>
              <w:ind w:firstLine="10"/>
              <w:jc w:val="left"/>
              <w:rPr>
                <w:rFonts w:ascii="宋体" w:hAnsi="宋体" w:eastAsia="宋体" w:cs="宋体"/>
                <w:spacing w:val="13"/>
                <w:sz w:val="24"/>
                <w:szCs w:val="24"/>
              </w:rPr>
            </w:pPr>
            <w:r>
              <w:rPr>
                <w:rFonts w:hint="eastAsia" w:ascii="宋体" w:hAnsi="宋体" w:eastAsia="宋体" w:cs="宋体"/>
                <w:spacing w:val="16"/>
                <w:sz w:val="24"/>
                <w:szCs w:val="24"/>
              </w:rPr>
              <w:t>(</w:t>
            </w:r>
            <w:r>
              <w:rPr>
                <w:rFonts w:hint="eastAsia" w:ascii="宋体" w:hAnsi="宋体" w:eastAsia="宋体" w:cs="宋体"/>
                <w:spacing w:val="13"/>
                <w:sz w:val="24"/>
                <w:szCs w:val="24"/>
              </w:rPr>
              <w:t>4)未提供的不得分。</w:t>
            </w:r>
          </w:p>
          <w:p>
            <w:pPr>
              <w:wordWrap w:val="0"/>
              <w:topLinePunct/>
              <w:spacing w:line="360" w:lineRule="auto"/>
              <w:ind w:firstLine="10"/>
              <w:jc w:val="left"/>
              <w:rPr>
                <w:bCs/>
                <w:sz w:val="24"/>
                <w:szCs w:val="24"/>
              </w:rPr>
            </w:pPr>
            <w:r>
              <w:rPr>
                <w:rFonts w:hint="eastAsia" w:ascii="宋体" w:hAnsi="宋体" w:eastAsia="宋体" w:cs="宋体"/>
                <w:sz w:val="24"/>
                <w:szCs w:val="24"/>
              </w:rPr>
              <w:t>本小项满6分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1302" w:type="dxa"/>
            <w:vMerge w:val="continue"/>
            <w:vAlign w:val="center"/>
          </w:tcPr>
          <w:p>
            <w:pPr>
              <w:pStyle w:val="38"/>
              <w:adjustRightInd w:val="0"/>
              <w:snapToGrid w:val="0"/>
              <w:spacing w:line="360" w:lineRule="auto"/>
              <w:jc w:val="center"/>
              <w:rPr>
                <w:sz w:val="24"/>
                <w:szCs w:val="24"/>
              </w:rPr>
            </w:pPr>
          </w:p>
        </w:tc>
        <w:tc>
          <w:tcPr>
            <w:tcW w:w="7229" w:type="dxa"/>
            <w:vAlign w:val="center"/>
          </w:tcPr>
          <w:p>
            <w:pPr>
              <w:wordWrap w:val="0"/>
              <w:topLinePunct/>
              <w:spacing w:line="360" w:lineRule="auto"/>
              <w:ind w:hanging="1"/>
              <w:jc w:val="left"/>
              <w:rPr>
                <w:rFonts w:ascii="宋体" w:hAnsi="宋体" w:eastAsia="宋体" w:cs="宋体"/>
                <w:sz w:val="24"/>
                <w:szCs w:val="24"/>
              </w:rPr>
            </w:pPr>
            <w:r>
              <w:rPr>
                <w:rFonts w:hint="eastAsia" w:ascii="宋体" w:hAnsi="宋体" w:eastAsia="宋体" w:cs="宋体"/>
                <w:spacing w:val="12"/>
                <w:sz w:val="24"/>
                <w:szCs w:val="24"/>
              </w:rPr>
              <w:t>5</w:t>
            </w:r>
            <w:r>
              <w:rPr>
                <w:rFonts w:hint="eastAsia" w:ascii="宋体" w:hAnsi="宋体" w:eastAsia="宋体" w:cs="宋体"/>
                <w:spacing w:val="10"/>
                <w:sz w:val="24"/>
                <w:szCs w:val="24"/>
              </w:rPr>
              <w:t>、根据供应商针对本项目的应急事件处理预案进行评</w:t>
            </w:r>
            <w:r>
              <w:rPr>
                <w:rFonts w:hint="eastAsia" w:ascii="宋体" w:hAnsi="宋体" w:eastAsia="宋体" w:cs="宋体"/>
                <w:spacing w:val="-2"/>
                <w:sz w:val="24"/>
                <w:szCs w:val="24"/>
              </w:rPr>
              <w:t>分</w:t>
            </w:r>
            <w:r>
              <w:rPr>
                <w:rFonts w:hint="eastAsia" w:ascii="宋体" w:hAnsi="宋体" w:eastAsia="宋体" w:cs="宋体"/>
                <w:spacing w:val="-1"/>
                <w:sz w:val="24"/>
                <w:szCs w:val="24"/>
              </w:rPr>
              <w:t>：</w:t>
            </w:r>
          </w:p>
          <w:p>
            <w:pPr>
              <w:wordWrap w:val="0"/>
              <w:topLinePunct/>
              <w:spacing w:line="360" w:lineRule="auto"/>
              <w:ind w:firstLine="8"/>
              <w:jc w:val="left"/>
              <w:rPr>
                <w:rFonts w:ascii="宋体" w:hAnsi="宋体" w:eastAsia="宋体" w:cs="宋体"/>
                <w:sz w:val="24"/>
                <w:szCs w:val="24"/>
              </w:rPr>
            </w:pPr>
            <w:r>
              <w:rPr>
                <w:rFonts w:hint="eastAsia" w:ascii="宋体" w:hAnsi="宋体" w:eastAsia="宋体" w:cs="宋体"/>
                <w:spacing w:val="17"/>
                <w:sz w:val="24"/>
                <w:szCs w:val="24"/>
              </w:rPr>
              <w:t>(</w:t>
            </w:r>
            <w:r>
              <w:rPr>
                <w:rFonts w:hint="eastAsia" w:ascii="宋体" w:hAnsi="宋体" w:eastAsia="宋体" w:cs="宋体"/>
                <w:spacing w:val="13"/>
                <w:sz w:val="24"/>
                <w:szCs w:val="24"/>
              </w:rPr>
              <w:t>1)应急事件处理预案科学合理，且具有很强的系统</w:t>
            </w:r>
            <w:r>
              <w:rPr>
                <w:rFonts w:hint="eastAsia" w:ascii="宋体" w:hAnsi="宋体" w:eastAsia="宋体" w:cs="宋体"/>
                <w:spacing w:val="-2"/>
                <w:sz w:val="24"/>
                <w:szCs w:val="24"/>
              </w:rPr>
              <w:t>性和可操</w:t>
            </w:r>
            <w:r>
              <w:rPr>
                <w:rFonts w:hint="eastAsia" w:ascii="宋体" w:hAnsi="宋体" w:eastAsia="宋体" w:cs="宋体"/>
                <w:spacing w:val="-1"/>
                <w:sz w:val="24"/>
                <w:szCs w:val="24"/>
              </w:rPr>
              <w:t>作性的，得</w:t>
            </w:r>
            <w:r>
              <w:rPr>
                <w:rFonts w:hint="eastAsia" w:ascii="宋体" w:hAnsi="宋体" w:cs="宋体"/>
                <w:spacing w:val="-1"/>
                <w:sz w:val="24"/>
                <w:szCs w:val="24"/>
              </w:rPr>
              <w:t>5</w:t>
            </w:r>
            <w:r>
              <w:rPr>
                <w:rFonts w:hint="eastAsia" w:ascii="宋体" w:hAnsi="宋体" w:eastAsia="宋体" w:cs="宋体"/>
                <w:spacing w:val="-1"/>
                <w:sz w:val="24"/>
                <w:szCs w:val="24"/>
              </w:rPr>
              <w:t>分；</w:t>
            </w:r>
          </w:p>
          <w:p>
            <w:pPr>
              <w:wordWrap w:val="0"/>
              <w:topLinePunct/>
              <w:spacing w:line="360" w:lineRule="auto"/>
              <w:ind w:firstLine="6"/>
              <w:jc w:val="left"/>
              <w:rPr>
                <w:rFonts w:ascii="宋体" w:hAnsi="宋体" w:eastAsia="宋体" w:cs="宋体"/>
                <w:sz w:val="24"/>
                <w:szCs w:val="24"/>
              </w:rPr>
            </w:pPr>
            <w:r>
              <w:rPr>
                <w:rFonts w:hint="eastAsia" w:ascii="宋体" w:hAnsi="宋体" w:eastAsia="宋体" w:cs="宋体"/>
                <w:spacing w:val="17"/>
                <w:sz w:val="24"/>
                <w:szCs w:val="24"/>
              </w:rPr>
              <w:t>(</w:t>
            </w:r>
            <w:r>
              <w:rPr>
                <w:rFonts w:hint="eastAsia" w:ascii="宋体" w:hAnsi="宋体" w:eastAsia="宋体" w:cs="宋体"/>
                <w:spacing w:val="13"/>
                <w:sz w:val="24"/>
                <w:szCs w:val="24"/>
              </w:rPr>
              <w:t>2)应急事件处理预案较为合理、清晰，具有一定的</w:t>
            </w:r>
            <w:r>
              <w:rPr>
                <w:rFonts w:hint="eastAsia" w:ascii="宋体" w:hAnsi="宋体" w:eastAsia="宋体" w:cs="宋体"/>
                <w:sz w:val="24"/>
                <w:szCs w:val="24"/>
              </w:rPr>
              <w:t>系统性和可操作性的，得</w:t>
            </w:r>
            <w:r>
              <w:rPr>
                <w:rFonts w:hint="eastAsia" w:ascii="宋体" w:hAnsi="宋体" w:cs="宋体"/>
                <w:sz w:val="24"/>
                <w:szCs w:val="24"/>
              </w:rPr>
              <w:t>3</w:t>
            </w:r>
            <w:r>
              <w:rPr>
                <w:rFonts w:hint="eastAsia" w:ascii="宋体" w:hAnsi="宋体" w:eastAsia="宋体" w:cs="宋体"/>
                <w:sz w:val="24"/>
                <w:szCs w:val="24"/>
              </w:rPr>
              <w:t>分；</w:t>
            </w:r>
          </w:p>
          <w:p>
            <w:pPr>
              <w:wordWrap w:val="0"/>
              <w:topLinePunct/>
              <w:spacing w:line="360" w:lineRule="auto"/>
              <w:jc w:val="left"/>
              <w:rPr>
                <w:rFonts w:ascii="宋体" w:hAnsi="宋体" w:eastAsia="宋体" w:cs="宋体"/>
                <w:sz w:val="24"/>
                <w:szCs w:val="24"/>
              </w:rPr>
            </w:pPr>
            <w:r>
              <w:rPr>
                <w:rFonts w:hint="eastAsia" w:ascii="宋体" w:hAnsi="宋体" w:eastAsia="宋体" w:cs="宋体"/>
                <w:spacing w:val="17"/>
                <w:sz w:val="24"/>
                <w:szCs w:val="24"/>
              </w:rPr>
              <w:t>(</w:t>
            </w:r>
            <w:r>
              <w:rPr>
                <w:rFonts w:hint="eastAsia" w:ascii="宋体" w:hAnsi="宋体" w:eastAsia="宋体" w:cs="宋体"/>
                <w:spacing w:val="13"/>
                <w:sz w:val="24"/>
                <w:szCs w:val="24"/>
              </w:rPr>
              <w:t>3)应急事件处理预案基本合理，细节待完善的，得</w:t>
            </w:r>
            <w:r>
              <w:rPr>
                <w:rFonts w:hint="eastAsia" w:ascii="宋体" w:hAnsi="宋体" w:eastAsia="宋体" w:cs="宋体"/>
                <w:spacing w:val="-20"/>
                <w:sz w:val="24"/>
                <w:szCs w:val="24"/>
              </w:rPr>
              <w:t>1</w:t>
            </w:r>
            <w:r>
              <w:rPr>
                <w:rFonts w:hint="eastAsia" w:ascii="宋体" w:hAnsi="宋体" w:eastAsia="宋体" w:cs="宋体"/>
                <w:spacing w:val="-16"/>
                <w:sz w:val="24"/>
                <w:szCs w:val="24"/>
              </w:rPr>
              <w:t>分；</w:t>
            </w:r>
          </w:p>
          <w:p>
            <w:pPr>
              <w:wordWrap w:val="0"/>
              <w:topLinePunct/>
              <w:spacing w:line="360" w:lineRule="auto"/>
              <w:jc w:val="left"/>
              <w:rPr>
                <w:rFonts w:ascii="宋体" w:hAnsi="宋体" w:eastAsia="宋体" w:cs="宋体"/>
                <w:sz w:val="24"/>
                <w:szCs w:val="24"/>
              </w:rPr>
            </w:pPr>
            <w:r>
              <w:rPr>
                <w:rFonts w:hint="eastAsia" w:ascii="宋体" w:hAnsi="宋体" w:eastAsia="宋体" w:cs="宋体"/>
                <w:spacing w:val="24"/>
                <w:sz w:val="24"/>
                <w:szCs w:val="24"/>
              </w:rPr>
              <w:t>(</w:t>
            </w:r>
            <w:r>
              <w:rPr>
                <w:rFonts w:hint="eastAsia" w:ascii="宋体" w:hAnsi="宋体" w:eastAsia="宋体" w:cs="宋体"/>
                <w:spacing w:val="15"/>
                <w:sz w:val="24"/>
                <w:szCs w:val="24"/>
              </w:rPr>
              <w:t>4)未提供的不得分。</w:t>
            </w:r>
          </w:p>
          <w:p>
            <w:pPr>
              <w:spacing w:line="360" w:lineRule="auto"/>
              <w:jc w:val="left"/>
              <w:rPr>
                <w:sz w:val="24"/>
                <w:szCs w:val="24"/>
              </w:rPr>
            </w:pPr>
            <w:r>
              <w:rPr>
                <w:rFonts w:hint="eastAsia" w:ascii="宋体" w:hAnsi="宋体" w:eastAsia="宋体" w:cs="宋体"/>
                <w:spacing w:val="-10"/>
                <w:sz w:val="24"/>
                <w:szCs w:val="24"/>
              </w:rPr>
              <w:t>本</w:t>
            </w:r>
            <w:r>
              <w:rPr>
                <w:rFonts w:hint="eastAsia" w:ascii="宋体" w:hAnsi="宋体" w:eastAsia="宋体" w:cs="宋体"/>
                <w:spacing w:val="-6"/>
                <w:sz w:val="24"/>
                <w:szCs w:val="24"/>
              </w:rPr>
              <w:t>小</w:t>
            </w:r>
            <w:r>
              <w:rPr>
                <w:rFonts w:hint="eastAsia" w:ascii="宋体" w:hAnsi="宋体" w:eastAsia="宋体" w:cs="宋体"/>
                <w:spacing w:val="-5"/>
                <w:sz w:val="24"/>
                <w:szCs w:val="24"/>
              </w:rPr>
              <w:t>项满分</w:t>
            </w:r>
            <w:r>
              <w:rPr>
                <w:rFonts w:hint="eastAsia" w:ascii="宋体" w:hAnsi="宋体" w:cs="宋体"/>
                <w:spacing w:val="-5"/>
                <w:sz w:val="24"/>
                <w:szCs w:val="24"/>
              </w:rPr>
              <w:t>5</w:t>
            </w:r>
            <w:r>
              <w:rPr>
                <w:rFonts w:hint="eastAsia" w:ascii="宋体" w:hAnsi="宋体" w:eastAsia="宋体" w:cs="宋体"/>
                <w:spacing w:val="-5"/>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snapToGrid w:val="0"/>
              <w:spacing w:line="360" w:lineRule="auto"/>
              <w:jc w:val="center"/>
              <w:rPr>
                <w:rFonts w:ascii="宋体" w:hAnsi="宋体" w:eastAsia="宋体" w:cs="宋体"/>
                <w:spacing w:val="8"/>
                <w:sz w:val="24"/>
                <w:szCs w:val="24"/>
              </w:rPr>
            </w:pPr>
            <w:r>
              <w:rPr>
                <w:rFonts w:hint="eastAsia" w:ascii="宋体" w:hAnsi="宋体" w:eastAsia="宋体" w:cs="宋体"/>
                <w:spacing w:val="8"/>
                <w:sz w:val="24"/>
                <w:szCs w:val="24"/>
              </w:rPr>
              <w:t>响应用工需求（10分）</w:t>
            </w:r>
          </w:p>
        </w:tc>
        <w:tc>
          <w:tcPr>
            <w:tcW w:w="7229" w:type="dxa"/>
            <w:vAlign w:val="center"/>
          </w:tcPr>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医院提出用工需求，公司1小时内给以响应。根据供应商提供的响应方案进行评分。</w:t>
            </w:r>
          </w:p>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 xml:space="preserve"> (1)提供的方案完整内容详细，可操作性强的，得10分；</w:t>
            </w:r>
          </w:p>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(2)提供的方案较为完善，内容基本全面，具有一定操作性的，得7分；</w:t>
            </w:r>
          </w:p>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(3)提供的方案基本满足本项目需求，但细节有待完善的，得3分；</w:t>
            </w:r>
          </w:p>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(4)未提供的不得分。</w:t>
            </w:r>
          </w:p>
          <w:p>
            <w:pPr>
              <w:spacing w:line="360" w:lineRule="auto"/>
              <w:rPr>
                <w:rFonts w:ascii="宋体" w:hAnsi="宋体" w:eastAsia="宋体" w:cs="宋体"/>
                <w:spacing w:val="21"/>
                <w:sz w:val="24"/>
                <w:szCs w:val="24"/>
              </w:rPr>
            </w:pPr>
            <w:r>
              <w:rPr>
                <w:rFonts w:hint="eastAsia" w:ascii="宋体" w:hAnsi="宋体" w:eastAsia="宋体" w:cs="宋体"/>
                <w:spacing w:val="21"/>
                <w:sz w:val="24"/>
                <w:szCs w:val="24"/>
              </w:rPr>
              <w:t>本小项满分10分。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snapToGrid w:val="0"/>
              <w:spacing w:line="360" w:lineRule="auto"/>
              <w:jc w:val="center"/>
              <w:rPr>
                <w:rFonts w:ascii="宋体" w:hAnsi="宋体" w:eastAsia="宋体" w:cs="宋体"/>
                <w:kern w:val="0"/>
                <w:sz w:val="24"/>
              </w:rPr>
            </w:pPr>
            <w:r>
              <w:rPr>
                <w:rFonts w:hint="eastAsia" w:ascii="宋体" w:hAnsi="宋体" w:eastAsia="宋体" w:cs="宋体"/>
                <w:spacing w:val="8"/>
                <w:sz w:val="24"/>
                <w:szCs w:val="24"/>
              </w:rPr>
              <w:t>项</w:t>
            </w:r>
            <w:r>
              <w:rPr>
                <w:rFonts w:hint="eastAsia" w:ascii="宋体" w:hAnsi="宋体" w:eastAsia="宋体" w:cs="宋体"/>
                <w:spacing w:val="6"/>
                <w:sz w:val="24"/>
                <w:szCs w:val="24"/>
              </w:rPr>
              <w:t>目负责</w:t>
            </w:r>
            <w:r>
              <w:rPr>
                <w:rFonts w:hint="eastAsia" w:ascii="宋体" w:hAnsi="宋体" w:eastAsia="宋体" w:cs="宋体"/>
                <w:sz w:val="24"/>
                <w:szCs w:val="24"/>
              </w:rPr>
              <w:t>人（4分）</w:t>
            </w:r>
          </w:p>
        </w:tc>
        <w:tc>
          <w:tcPr>
            <w:tcW w:w="7229" w:type="dxa"/>
            <w:vAlign w:val="center"/>
          </w:tcPr>
          <w:p>
            <w:pPr>
              <w:spacing w:line="360" w:lineRule="auto"/>
              <w:rPr>
                <w:rFonts w:ascii="宋体" w:hAnsi="宋体" w:eastAsia="宋体" w:cs="宋体"/>
                <w:sz w:val="24"/>
                <w:szCs w:val="24"/>
              </w:rPr>
            </w:pPr>
            <w:r>
              <w:rPr>
                <w:rFonts w:hint="eastAsia" w:ascii="宋体" w:hAnsi="宋体" w:eastAsia="宋体" w:cs="宋体"/>
                <w:spacing w:val="21"/>
                <w:sz w:val="24"/>
                <w:szCs w:val="24"/>
              </w:rPr>
              <w:t>(</w:t>
            </w:r>
            <w:r>
              <w:rPr>
                <w:rFonts w:hint="eastAsia" w:ascii="宋体" w:hAnsi="宋体" w:eastAsia="宋体" w:cs="宋体"/>
                <w:spacing w:val="11"/>
                <w:sz w:val="24"/>
                <w:szCs w:val="24"/>
              </w:rPr>
              <w:t>1)具有医学类(或护理学类)专业本科(含)以上</w:t>
            </w:r>
            <w:r>
              <w:rPr>
                <w:rFonts w:hint="eastAsia" w:ascii="宋体" w:hAnsi="宋体" w:eastAsia="宋体" w:cs="宋体"/>
                <w:spacing w:val="-12"/>
                <w:sz w:val="24"/>
                <w:szCs w:val="24"/>
              </w:rPr>
              <w:t>学</w:t>
            </w:r>
            <w:r>
              <w:rPr>
                <w:rFonts w:hint="eastAsia" w:ascii="宋体" w:hAnsi="宋体" w:eastAsia="宋体" w:cs="宋体"/>
                <w:spacing w:val="-7"/>
                <w:sz w:val="24"/>
                <w:szCs w:val="24"/>
              </w:rPr>
              <w:t>历</w:t>
            </w:r>
            <w:r>
              <w:rPr>
                <w:rFonts w:hint="eastAsia" w:ascii="宋体" w:hAnsi="宋体" w:eastAsia="宋体" w:cs="宋体"/>
                <w:spacing w:val="-6"/>
                <w:sz w:val="24"/>
                <w:szCs w:val="24"/>
              </w:rPr>
              <w:t>的，得2分；最多得2分。</w:t>
            </w:r>
          </w:p>
          <w:p>
            <w:pPr>
              <w:spacing w:line="360" w:lineRule="auto"/>
              <w:ind w:firstLine="8"/>
              <w:rPr>
                <w:rFonts w:ascii="宋体" w:hAnsi="宋体" w:eastAsia="宋体" w:cs="宋体"/>
                <w:sz w:val="24"/>
                <w:szCs w:val="24"/>
              </w:rPr>
            </w:pPr>
            <w:r>
              <w:rPr>
                <w:rFonts w:hint="eastAsia" w:ascii="宋体" w:hAnsi="宋体" w:eastAsia="宋体" w:cs="宋体"/>
                <w:spacing w:val="-1"/>
                <w:sz w:val="24"/>
                <w:szCs w:val="24"/>
              </w:rPr>
              <w:t>(2)具有“医院感</w:t>
            </w:r>
            <w:r>
              <w:rPr>
                <w:rFonts w:hint="eastAsia" w:ascii="宋体" w:hAnsi="宋体" w:eastAsia="宋体" w:cs="宋体"/>
                <w:sz w:val="24"/>
                <w:szCs w:val="24"/>
              </w:rPr>
              <w:t>染管理”等方面培训证书的，得1分；</w:t>
            </w:r>
            <w:r>
              <w:rPr>
                <w:rFonts w:hint="eastAsia" w:ascii="宋体" w:hAnsi="宋体" w:eastAsia="宋体" w:cs="宋体"/>
                <w:spacing w:val="-12"/>
                <w:sz w:val="24"/>
                <w:szCs w:val="24"/>
              </w:rPr>
              <w:t>最</w:t>
            </w:r>
            <w:r>
              <w:rPr>
                <w:rFonts w:hint="eastAsia" w:ascii="宋体" w:hAnsi="宋体" w:eastAsia="宋体" w:cs="宋体"/>
                <w:spacing w:val="-11"/>
                <w:sz w:val="24"/>
                <w:szCs w:val="24"/>
              </w:rPr>
              <w:t>多得2分。</w:t>
            </w:r>
          </w:p>
          <w:p>
            <w:pPr>
              <w:spacing w:line="360" w:lineRule="auto"/>
              <w:ind w:firstLine="8"/>
              <w:rPr>
                <w:rFonts w:ascii="宋体" w:hAnsi="宋体" w:eastAsia="宋体" w:cs="宋体"/>
                <w:sz w:val="24"/>
                <w:szCs w:val="24"/>
              </w:rPr>
            </w:pPr>
            <w:r>
              <w:rPr>
                <w:rFonts w:hint="eastAsia" w:ascii="宋体" w:hAnsi="宋体" w:eastAsia="宋体" w:cs="宋体"/>
                <w:spacing w:val="-10"/>
                <w:sz w:val="24"/>
                <w:szCs w:val="24"/>
              </w:rPr>
              <w:t>本</w:t>
            </w:r>
            <w:r>
              <w:rPr>
                <w:rFonts w:hint="eastAsia" w:ascii="宋体" w:hAnsi="宋体" w:eastAsia="宋体" w:cs="宋体"/>
                <w:spacing w:val="-6"/>
                <w:sz w:val="24"/>
                <w:szCs w:val="24"/>
              </w:rPr>
              <w:t>小</w:t>
            </w:r>
            <w:r>
              <w:rPr>
                <w:rFonts w:hint="eastAsia" w:ascii="宋体" w:hAnsi="宋体" w:eastAsia="宋体" w:cs="宋体"/>
                <w:spacing w:val="-5"/>
                <w:sz w:val="24"/>
                <w:szCs w:val="24"/>
              </w:rPr>
              <w:t>项满分</w:t>
            </w:r>
            <w:r>
              <w:rPr>
                <w:rFonts w:hint="eastAsia" w:ascii="宋体" w:hAnsi="宋体" w:eastAsia="宋体" w:cs="宋体"/>
                <w:sz w:val="24"/>
                <w:szCs w:val="24"/>
              </w:rPr>
              <w:t>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02" w:type="dxa"/>
            <w:vAlign w:val="center"/>
          </w:tcPr>
          <w:p>
            <w:pPr>
              <w:widowControl/>
              <w:adjustRightInd w:val="0"/>
              <w:snapToGrid w:val="0"/>
              <w:spacing w:line="288" w:lineRule="auto"/>
              <w:jc w:val="center"/>
              <w:rPr>
                <w:rFonts w:ascii="宋体" w:hAnsi="宋体" w:cs="宋体"/>
                <w:sz w:val="24"/>
              </w:rPr>
            </w:pPr>
            <w:r>
              <w:rPr>
                <w:rFonts w:hint="eastAsia" w:ascii="宋体" w:hAnsi="宋体" w:cs="宋体"/>
                <w:sz w:val="24"/>
              </w:rPr>
              <w:t>响应报价</w:t>
            </w:r>
          </w:p>
          <w:p>
            <w:pPr>
              <w:pStyle w:val="15"/>
              <w:ind w:left="0" w:leftChars="0" w:firstLine="0" w:firstLineChars="0"/>
              <w:jc w:val="center"/>
              <w:rPr>
                <w:rFonts w:eastAsia="宋体"/>
              </w:rPr>
            </w:pPr>
            <w:r>
              <w:rPr>
                <w:rFonts w:hint="eastAsia" w:ascii="宋体" w:hAnsi="宋体" w:cs="宋体"/>
                <w:sz w:val="24"/>
              </w:rPr>
              <w:t>（20分）</w:t>
            </w:r>
          </w:p>
          <w:p>
            <w:pPr>
              <w:pStyle w:val="15"/>
            </w:pPr>
          </w:p>
        </w:tc>
        <w:tc>
          <w:tcPr>
            <w:tcW w:w="7229" w:type="dxa"/>
            <w:vAlign w:val="center"/>
          </w:tcPr>
          <w:p>
            <w:pPr>
              <w:snapToGrid w:val="0"/>
              <w:spacing w:line="288" w:lineRule="auto"/>
              <w:rPr>
                <w:rFonts w:ascii="宋体" w:hAnsi="宋体" w:cs="宋体"/>
                <w:sz w:val="24"/>
              </w:rPr>
            </w:pPr>
            <w:r>
              <w:rPr>
                <w:rFonts w:hint="eastAsia" w:ascii="宋体" w:hAnsi="宋体" w:cs="宋体"/>
                <w:sz w:val="24"/>
              </w:rPr>
              <w:t>响应报价满分为20分（护理员报价10分+育婴师报价10分）。</w:t>
            </w:r>
          </w:p>
          <w:p>
            <w:pPr>
              <w:snapToGrid w:val="0"/>
              <w:spacing w:line="288" w:lineRule="auto"/>
              <w:rPr>
                <w:rFonts w:ascii="宋体" w:hAnsi="宋体" w:cs="宋体"/>
                <w:sz w:val="24"/>
              </w:rPr>
            </w:pPr>
            <w:r>
              <w:rPr>
                <w:rFonts w:hint="eastAsia" w:ascii="宋体" w:hAnsi="宋体" w:cs="宋体"/>
                <w:b/>
                <w:bCs/>
                <w:sz w:val="24"/>
              </w:rPr>
              <w:t>护理员报价10分：</w:t>
            </w:r>
            <w:r>
              <w:rPr>
                <w:rFonts w:hint="eastAsia" w:ascii="宋体" w:hAnsi="宋体" w:cs="宋体"/>
                <w:sz w:val="24"/>
              </w:rPr>
              <w:t>价格通过初步评审且最终报价统一折扣率最低的为评审基准折扣率，其商务得分为满分10分。其他供应商的商务得分统一按照下列公式计算：供应商得分=（评审基准统一折扣率/所投统一折扣率）×10；</w:t>
            </w:r>
          </w:p>
          <w:p>
            <w:pPr>
              <w:snapToGrid w:val="0"/>
              <w:spacing w:line="288" w:lineRule="auto"/>
              <w:rPr>
                <w:rFonts w:ascii="宋体" w:hAnsi="宋体" w:cs="宋体"/>
                <w:sz w:val="24"/>
              </w:rPr>
            </w:pPr>
            <w:r>
              <w:rPr>
                <w:rFonts w:hint="eastAsia" w:ascii="宋体" w:hAnsi="宋体" w:cs="宋体"/>
                <w:b/>
                <w:bCs/>
                <w:sz w:val="24"/>
              </w:rPr>
              <w:t>育婴师报价10分：</w:t>
            </w:r>
            <w:r>
              <w:rPr>
                <w:rFonts w:hint="eastAsia" w:ascii="宋体" w:hAnsi="宋体" w:cs="宋体"/>
                <w:sz w:val="24"/>
              </w:rPr>
              <w:t>价格通过初步评审且最终报价统一折扣率最低的为评审基准折扣率，其商务得分为满分10分。其他供应商的商务得分统一按照下列公式计算：供应商得分=（评审基准统一折扣率/所投统一折扣率）×10；</w:t>
            </w:r>
          </w:p>
          <w:p>
            <w:pPr>
              <w:snapToGrid w:val="0"/>
              <w:spacing w:line="288" w:lineRule="auto"/>
              <w:ind w:left="-38"/>
              <w:rPr>
                <w:rFonts w:ascii="宋体" w:hAnsi="宋体" w:eastAsia="宋体" w:cs="宋体"/>
                <w:sz w:val="24"/>
              </w:rPr>
            </w:pPr>
            <w:r>
              <w:rPr>
                <w:rFonts w:hint="eastAsia" w:ascii="宋体" w:hAnsi="宋体" w:cs="宋体"/>
                <w:b/>
                <w:bCs/>
                <w:sz w:val="24"/>
              </w:rPr>
              <w:t>注：若所投统一折扣率超出最高限价的，作为无效响应处理。未通过初步评审的供应商报价不列入计算。</w:t>
            </w:r>
          </w:p>
        </w:tc>
      </w:tr>
    </w:tbl>
    <w:p>
      <w:pPr>
        <w:spacing w:line="360" w:lineRule="auto"/>
        <w:ind w:firstLine="480" w:firstLineChars="200"/>
        <w:rPr>
          <w:rFonts w:ascii="宋体" w:hAnsi="宋体" w:cs="宋体"/>
          <w:sz w:val="24"/>
        </w:rPr>
      </w:pPr>
    </w:p>
    <w:p>
      <w:pPr>
        <w:pStyle w:val="15"/>
        <w:ind w:left="0" w:leftChars="0" w:firstLine="0" w:firstLineChars="0"/>
        <w:jc w:val="center"/>
        <w:outlineLvl w:val="0"/>
        <w:rPr>
          <w:rFonts w:ascii="宋体" w:hAnsi="宋体" w:cs="宋体"/>
          <w:b/>
          <w:bCs/>
          <w:sz w:val="24"/>
        </w:rPr>
      </w:pPr>
    </w:p>
    <w:p>
      <w:pPr>
        <w:rPr>
          <w:rFonts w:ascii="新宋体" w:hAnsi="新宋体" w:eastAsia="新宋体" w:cs="方正小标宋简体"/>
          <w:b/>
          <w:sz w:val="32"/>
          <w:szCs w:val="36"/>
        </w:rPr>
      </w:pPr>
      <w:r>
        <w:rPr>
          <w:rFonts w:hint="eastAsia" w:ascii="宋体" w:hAnsi="宋体" w:cs="宋体"/>
        </w:rPr>
        <w:br w:type="page"/>
      </w:r>
      <w:r>
        <w:rPr>
          <w:rFonts w:hint="eastAsia" w:ascii="新宋体" w:hAnsi="新宋体" w:eastAsia="新宋体" w:cs="方正小标宋简体"/>
          <w:b/>
          <w:sz w:val="32"/>
          <w:szCs w:val="36"/>
        </w:rPr>
        <w:t xml:space="preserve"> </w:t>
      </w:r>
    </w:p>
    <w:p>
      <w:pPr>
        <w:jc w:val="center"/>
        <w:rPr>
          <w:rFonts w:ascii="新宋体" w:hAnsi="新宋体" w:eastAsia="新宋体" w:cs="方正小标宋简体"/>
          <w:b/>
          <w:sz w:val="32"/>
          <w:szCs w:val="36"/>
        </w:rPr>
      </w:pPr>
      <w:r>
        <w:rPr>
          <w:rFonts w:hint="eastAsia" w:ascii="新宋体" w:hAnsi="新宋体" w:eastAsia="新宋体" w:cs="方正小标宋简体"/>
          <w:b/>
          <w:sz w:val="32"/>
          <w:szCs w:val="36"/>
        </w:rPr>
        <w:t xml:space="preserve">蚌埠市第二人民医院采购护理员、育婴师管理服务公司项目采购意向及需求公示的反馈意见 </w:t>
      </w:r>
    </w:p>
    <w:p>
      <w:pPr>
        <w:rPr>
          <w:rFonts w:ascii="宋体" w:hAnsi="宋体" w:cs="宋体"/>
          <w:sz w:val="28"/>
          <w:szCs w:val="28"/>
        </w:rPr>
      </w:pPr>
      <w:r>
        <w:rPr>
          <w:rFonts w:hint="eastAsia"/>
          <w:sz w:val="28"/>
          <w:szCs w:val="28"/>
          <w:lang w:val="zh-CN"/>
        </w:rPr>
        <w:t>安徽省志成建设工程咨询股份有限公司</w:t>
      </w:r>
      <w:r>
        <w:rPr>
          <w:rFonts w:hint="eastAsia" w:ascii="宋体" w:hAnsi="宋体" w:cs="宋体"/>
          <w:sz w:val="28"/>
          <w:szCs w:val="28"/>
        </w:rPr>
        <w:t>：</w:t>
      </w:r>
    </w:p>
    <w:p>
      <w:pPr>
        <w:ind w:firstLine="560" w:firstLineChars="200"/>
        <w:rPr>
          <w:rFonts w:ascii="宋体" w:hAnsi="宋体" w:cs="宋体"/>
          <w:sz w:val="28"/>
          <w:szCs w:val="28"/>
        </w:rPr>
      </w:pPr>
      <w:r>
        <w:rPr>
          <w:rFonts w:hint="eastAsia" w:ascii="宋体" w:hAnsi="宋体" w:cs="宋体"/>
          <w:sz w:val="28"/>
          <w:szCs w:val="28"/>
        </w:rPr>
        <w:t>针对蚌埠市第二人民医院采购护理员、育婴师管理服务公司项目，采购意向及需求公示，我单位反馈意见如下：</w:t>
      </w:r>
    </w:p>
    <w:p>
      <w:pPr>
        <w:ind w:firstLine="560" w:firstLineChars="200"/>
        <w:outlineLvl w:val="0"/>
        <w:rPr>
          <w:rFonts w:ascii="宋体"/>
          <w:sz w:val="28"/>
          <w:szCs w:val="28"/>
        </w:rPr>
      </w:pPr>
      <w:r>
        <w:rPr>
          <w:rFonts w:hint="eastAsia" w:ascii="宋体" w:hAnsi="宋体" w:cs="宋体"/>
          <w:sz w:val="28"/>
          <w:szCs w:val="28"/>
        </w:rPr>
        <w:t>一、需求存在倾向性内容，建议进行修改，修改意见如下：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ind w:firstLine="560" w:firstLineChars="200"/>
        <w:outlineLvl w:val="0"/>
        <w:rPr>
          <w:rFonts w:ascii="宋体"/>
          <w:sz w:val="28"/>
          <w:szCs w:val="28"/>
        </w:rPr>
      </w:pPr>
      <w:r>
        <w:rPr>
          <w:rFonts w:hint="eastAsia" w:ascii="宋体" w:hAnsi="宋体" w:cs="宋体"/>
          <w:sz w:val="28"/>
          <w:szCs w:val="28"/>
        </w:rPr>
        <w:t>二、技术需求存在不明确（或不完整）内容，无法报价，建议进行完善，完善意见如下：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pStyle w:val="13"/>
        <w:snapToGrid w:val="0"/>
        <w:spacing w:beforeAutospacing="0" w:afterAutospacing="0" w:line="360" w:lineRule="auto"/>
        <w:outlineLvl w:val="2"/>
        <w:rPr>
          <w:rFonts w:ascii="宋体" w:hAnsi="宋体" w:cs="宋体"/>
          <w:bCs/>
          <w:szCs w:val="24"/>
        </w:rPr>
      </w:pPr>
      <w:r>
        <w:rPr>
          <w:rFonts w:hint="eastAsia" w:ascii="宋体" w:hAnsi="宋体" w:cs="宋体"/>
          <w:sz w:val="28"/>
          <w:szCs w:val="28"/>
        </w:rPr>
        <w:t>特此函告</w:t>
      </w:r>
    </w:p>
    <w:p>
      <w:pPr>
        <w:rPr>
          <w:rFonts w:ascii="宋体" w:hAnsi="宋体" w:eastAsia="宋体" w:cs="宋体"/>
          <w:kern w:val="0"/>
          <w:sz w:val="28"/>
          <w:szCs w:val="28"/>
        </w:rPr>
      </w:pPr>
    </w:p>
    <w:p/>
    <w:p>
      <w:pPr>
        <w:rPr>
          <w:rFonts w:ascii="宋体" w:hAnsi="宋体" w:eastAsia="宋体" w:cs="宋体"/>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D233BD"/>
    <w:multiLevelType w:val="multilevel"/>
    <w:tmpl w:val="24D233BD"/>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0D8544C"/>
    <w:multiLevelType w:val="singleLevel"/>
    <w:tmpl w:val="30D8544C"/>
    <w:lvl w:ilvl="0" w:tentative="0">
      <w:start w:val="7"/>
      <w:numFmt w:val="decimal"/>
      <w:suff w:val="nothing"/>
      <w:lvlText w:val="%1、"/>
      <w:lvlJc w:val="left"/>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77C1D006"/>
    <w:multiLevelType w:val="singleLevel"/>
    <w:tmpl w:val="77C1D006"/>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0595"/>
    <w:rsid w:val="00103C06"/>
    <w:rsid w:val="001108BE"/>
    <w:rsid w:val="00111564"/>
    <w:rsid w:val="001624A1"/>
    <w:rsid w:val="00172802"/>
    <w:rsid w:val="001E5948"/>
    <w:rsid w:val="001E6438"/>
    <w:rsid w:val="00232398"/>
    <w:rsid w:val="002503E4"/>
    <w:rsid w:val="00295E9E"/>
    <w:rsid w:val="002A5E17"/>
    <w:rsid w:val="002D1234"/>
    <w:rsid w:val="002D3407"/>
    <w:rsid w:val="002D37A6"/>
    <w:rsid w:val="002E7313"/>
    <w:rsid w:val="00322F32"/>
    <w:rsid w:val="00375EB8"/>
    <w:rsid w:val="00391B32"/>
    <w:rsid w:val="00393C04"/>
    <w:rsid w:val="003B2FD4"/>
    <w:rsid w:val="003E0F58"/>
    <w:rsid w:val="003E1F13"/>
    <w:rsid w:val="003F6848"/>
    <w:rsid w:val="00435A2E"/>
    <w:rsid w:val="00446C11"/>
    <w:rsid w:val="004D3EDB"/>
    <w:rsid w:val="004F61F4"/>
    <w:rsid w:val="00507E64"/>
    <w:rsid w:val="00560AB1"/>
    <w:rsid w:val="005F0D25"/>
    <w:rsid w:val="005F1D6A"/>
    <w:rsid w:val="00662AE3"/>
    <w:rsid w:val="006C7FF1"/>
    <w:rsid w:val="006E3AAC"/>
    <w:rsid w:val="00712C50"/>
    <w:rsid w:val="00753E79"/>
    <w:rsid w:val="00794664"/>
    <w:rsid w:val="00794D34"/>
    <w:rsid w:val="007A4073"/>
    <w:rsid w:val="007C403C"/>
    <w:rsid w:val="00815D6B"/>
    <w:rsid w:val="00834EFF"/>
    <w:rsid w:val="0088589E"/>
    <w:rsid w:val="008B782D"/>
    <w:rsid w:val="008C4F97"/>
    <w:rsid w:val="008E306A"/>
    <w:rsid w:val="00916A8B"/>
    <w:rsid w:val="00920722"/>
    <w:rsid w:val="00942DF4"/>
    <w:rsid w:val="00977CBE"/>
    <w:rsid w:val="009B3185"/>
    <w:rsid w:val="009D7E78"/>
    <w:rsid w:val="00A2493D"/>
    <w:rsid w:val="00A34A7E"/>
    <w:rsid w:val="00A41C4B"/>
    <w:rsid w:val="00A47EAA"/>
    <w:rsid w:val="00A67BD8"/>
    <w:rsid w:val="00A7131D"/>
    <w:rsid w:val="00A84C3A"/>
    <w:rsid w:val="00A95062"/>
    <w:rsid w:val="00B943C0"/>
    <w:rsid w:val="00BA4BC5"/>
    <w:rsid w:val="00BB5340"/>
    <w:rsid w:val="00C0304B"/>
    <w:rsid w:val="00C62788"/>
    <w:rsid w:val="00C74048"/>
    <w:rsid w:val="00C9132B"/>
    <w:rsid w:val="00D571F8"/>
    <w:rsid w:val="00D839B9"/>
    <w:rsid w:val="00DE288B"/>
    <w:rsid w:val="00DE7C14"/>
    <w:rsid w:val="00DF393F"/>
    <w:rsid w:val="00EA7C54"/>
    <w:rsid w:val="00ED2959"/>
    <w:rsid w:val="00F03C8E"/>
    <w:rsid w:val="00F15A22"/>
    <w:rsid w:val="00F37F26"/>
    <w:rsid w:val="00F63116"/>
    <w:rsid w:val="00F86786"/>
    <w:rsid w:val="00F926FD"/>
    <w:rsid w:val="00FC0DEB"/>
    <w:rsid w:val="00FF25A2"/>
    <w:rsid w:val="010B006C"/>
    <w:rsid w:val="02F95C17"/>
    <w:rsid w:val="03F618F7"/>
    <w:rsid w:val="05BB0E6A"/>
    <w:rsid w:val="07884358"/>
    <w:rsid w:val="088157DD"/>
    <w:rsid w:val="0EA531C5"/>
    <w:rsid w:val="102871DA"/>
    <w:rsid w:val="134C6DF2"/>
    <w:rsid w:val="13CC35BB"/>
    <w:rsid w:val="16D809D5"/>
    <w:rsid w:val="19E1315F"/>
    <w:rsid w:val="1A4F03D7"/>
    <w:rsid w:val="1A5F0800"/>
    <w:rsid w:val="1A8A1094"/>
    <w:rsid w:val="1FAA6BA2"/>
    <w:rsid w:val="20701E96"/>
    <w:rsid w:val="207324C6"/>
    <w:rsid w:val="21580108"/>
    <w:rsid w:val="24AE53EF"/>
    <w:rsid w:val="257122AF"/>
    <w:rsid w:val="2D925870"/>
    <w:rsid w:val="312D0AC1"/>
    <w:rsid w:val="3183424E"/>
    <w:rsid w:val="367D0B77"/>
    <w:rsid w:val="39E72900"/>
    <w:rsid w:val="3A59465F"/>
    <w:rsid w:val="3BBA09A9"/>
    <w:rsid w:val="3CDD2385"/>
    <w:rsid w:val="3D3F4BEA"/>
    <w:rsid w:val="3E971897"/>
    <w:rsid w:val="41137BC4"/>
    <w:rsid w:val="41617943"/>
    <w:rsid w:val="43BA7AD7"/>
    <w:rsid w:val="442C0469"/>
    <w:rsid w:val="44C73830"/>
    <w:rsid w:val="45156B9E"/>
    <w:rsid w:val="46796E24"/>
    <w:rsid w:val="46DB1D87"/>
    <w:rsid w:val="480656EC"/>
    <w:rsid w:val="48212119"/>
    <w:rsid w:val="4B3F7A97"/>
    <w:rsid w:val="4D071309"/>
    <w:rsid w:val="4DA43E48"/>
    <w:rsid w:val="52FB7715"/>
    <w:rsid w:val="558D68E8"/>
    <w:rsid w:val="55C51B2F"/>
    <w:rsid w:val="56DD42FB"/>
    <w:rsid w:val="5C267B9A"/>
    <w:rsid w:val="5C6E4623"/>
    <w:rsid w:val="5D480901"/>
    <w:rsid w:val="5F2B5C40"/>
    <w:rsid w:val="5FF4532C"/>
    <w:rsid w:val="630E2FA0"/>
    <w:rsid w:val="63985972"/>
    <w:rsid w:val="6479387F"/>
    <w:rsid w:val="64EA6690"/>
    <w:rsid w:val="64FF6797"/>
    <w:rsid w:val="665E38CA"/>
    <w:rsid w:val="67EF7DEE"/>
    <w:rsid w:val="68ED244F"/>
    <w:rsid w:val="6D663E0B"/>
    <w:rsid w:val="6E5318EA"/>
    <w:rsid w:val="6F915E09"/>
    <w:rsid w:val="6F922F7F"/>
    <w:rsid w:val="703F64BC"/>
    <w:rsid w:val="73E27294"/>
    <w:rsid w:val="754828ED"/>
    <w:rsid w:val="754941F9"/>
    <w:rsid w:val="75BD7996"/>
    <w:rsid w:val="76AC78FF"/>
    <w:rsid w:val="77536588"/>
    <w:rsid w:val="795F7F1A"/>
    <w:rsid w:val="79A46F58"/>
    <w:rsid w:val="7B465852"/>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30"/>
      <w:szCs w:val="44"/>
    </w:rPr>
  </w:style>
  <w:style w:type="paragraph" w:styleId="3">
    <w:name w:val="heading 2"/>
    <w:basedOn w:val="1"/>
    <w:next w:val="1"/>
    <w:autoRedefine/>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6"/>
    <w:semiHidden/>
    <w:unhideWhenUsed/>
    <w:qFormat/>
    <w:uiPriority w:val="99"/>
    <w:pPr>
      <w:jc w:val="left"/>
    </w:pPr>
  </w:style>
  <w:style w:type="paragraph" w:styleId="5">
    <w:name w:val="Body Text"/>
    <w:basedOn w:val="1"/>
    <w:next w:val="1"/>
    <w:autoRedefine/>
    <w:qFormat/>
    <w:uiPriority w:val="0"/>
    <w:rPr>
      <w:rFonts w:ascii="宋体" w:hAnsi="Arial"/>
      <w:sz w:val="28"/>
    </w:rPr>
  </w:style>
  <w:style w:type="paragraph" w:styleId="6">
    <w:name w:val="Body Text Indent"/>
    <w:basedOn w:val="1"/>
    <w:next w:val="7"/>
    <w:qFormat/>
    <w:uiPriority w:val="0"/>
    <w:pPr>
      <w:ind w:left="420" w:leftChars="200"/>
    </w:pPr>
  </w:style>
  <w:style w:type="paragraph" w:styleId="7">
    <w:name w:val="envelope return"/>
    <w:basedOn w:val="1"/>
    <w:autoRedefine/>
    <w:qFormat/>
    <w:uiPriority w:val="0"/>
    <w:pPr>
      <w:snapToGrid w:val="0"/>
    </w:pPr>
    <w:rPr>
      <w:rFonts w:ascii="Arial" w:hAnsi="Arial" w:cs="Arial"/>
    </w:rPr>
  </w:style>
  <w:style w:type="paragraph" w:styleId="8">
    <w:name w:val="Plain Text"/>
    <w:basedOn w:val="1"/>
    <w:next w:val="1"/>
    <w:autoRedefine/>
    <w:qFormat/>
    <w:uiPriority w:val="0"/>
    <w:rPr>
      <w:rFonts w:ascii="宋体" w:hAnsi="Courier New"/>
    </w:r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4"/>
    <w:next w:val="4"/>
    <w:link w:val="27"/>
    <w:autoRedefine/>
    <w:semiHidden/>
    <w:unhideWhenUsed/>
    <w:qFormat/>
    <w:uiPriority w:val="99"/>
    <w:rPr>
      <w:b/>
      <w:bCs/>
    </w:rPr>
  </w:style>
  <w:style w:type="paragraph" w:styleId="15">
    <w:name w:val="Body Text First Indent 2"/>
    <w:basedOn w:val="6"/>
    <w:next w:val="1"/>
    <w:qFormat/>
    <w:uiPriority w:val="0"/>
    <w:pPr>
      <w:ind w:firstLine="420" w:firstLineChars="200"/>
    </w:pPr>
  </w:style>
  <w:style w:type="table" w:styleId="17">
    <w:name w:val="Table Grid"/>
    <w:basedOn w:val="16"/>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annotation reference"/>
    <w:basedOn w:val="18"/>
    <w:semiHidden/>
    <w:unhideWhenUsed/>
    <w:qFormat/>
    <w:uiPriority w:val="99"/>
    <w:rPr>
      <w:sz w:val="21"/>
      <w:szCs w:val="21"/>
    </w:rPr>
  </w:style>
  <w:style w:type="paragraph" w:customStyle="1" w:styleId="21">
    <w:name w:val="Default"/>
    <w:autoRedefine/>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2">
    <w:name w:val="页眉 Char"/>
    <w:basedOn w:val="18"/>
    <w:link w:val="11"/>
    <w:autoRedefine/>
    <w:semiHidden/>
    <w:qFormat/>
    <w:uiPriority w:val="99"/>
    <w:rPr>
      <w:sz w:val="18"/>
      <w:szCs w:val="18"/>
    </w:rPr>
  </w:style>
  <w:style w:type="character" w:customStyle="1" w:styleId="23">
    <w:name w:val="页脚 Char"/>
    <w:basedOn w:val="18"/>
    <w:link w:val="10"/>
    <w:semiHidden/>
    <w:qFormat/>
    <w:uiPriority w:val="99"/>
    <w:rPr>
      <w:sz w:val="18"/>
      <w:szCs w:val="18"/>
    </w:rPr>
  </w:style>
  <w:style w:type="paragraph" w:customStyle="1" w:styleId="24">
    <w:name w:val="列出段落1"/>
    <w:basedOn w:val="1"/>
    <w:qFormat/>
    <w:uiPriority w:val="34"/>
    <w:pPr>
      <w:ind w:firstLine="420" w:firstLineChars="200"/>
    </w:pPr>
  </w:style>
  <w:style w:type="paragraph" w:styleId="25">
    <w:name w:val="List Paragraph"/>
    <w:basedOn w:val="1"/>
    <w:autoRedefine/>
    <w:unhideWhenUsed/>
    <w:qFormat/>
    <w:uiPriority w:val="99"/>
    <w:pPr>
      <w:ind w:firstLine="420" w:firstLineChars="200"/>
    </w:pPr>
  </w:style>
  <w:style w:type="character" w:customStyle="1" w:styleId="26">
    <w:name w:val="批注文字 Char"/>
    <w:basedOn w:val="18"/>
    <w:link w:val="4"/>
    <w:semiHidden/>
    <w:qFormat/>
    <w:uiPriority w:val="99"/>
    <w:rPr>
      <w:kern w:val="2"/>
      <w:sz w:val="21"/>
      <w:szCs w:val="22"/>
    </w:rPr>
  </w:style>
  <w:style w:type="character" w:customStyle="1" w:styleId="27">
    <w:name w:val="批注主题 Char"/>
    <w:basedOn w:val="26"/>
    <w:link w:val="14"/>
    <w:autoRedefine/>
    <w:semiHidden/>
    <w:qFormat/>
    <w:uiPriority w:val="99"/>
    <w:rPr>
      <w:b/>
      <w:bCs/>
      <w:kern w:val="2"/>
      <w:sz w:val="21"/>
      <w:szCs w:val="22"/>
    </w:rPr>
  </w:style>
  <w:style w:type="character" w:customStyle="1" w:styleId="28">
    <w:name w:val="批注框文本 Char"/>
    <w:basedOn w:val="18"/>
    <w:link w:val="9"/>
    <w:semiHidden/>
    <w:qFormat/>
    <w:uiPriority w:val="99"/>
    <w:rPr>
      <w:kern w:val="2"/>
      <w:sz w:val="18"/>
      <w:szCs w:val="18"/>
    </w:rPr>
  </w:style>
  <w:style w:type="paragraph" w:customStyle="1" w:styleId="29">
    <w:name w:val="正文11"/>
    <w:basedOn w:val="1"/>
    <w:autoRedefine/>
    <w:qFormat/>
    <w:uiPriority w:val="0"/>
    <w:pPr>
      <w:adjustRightInd w:val="0"/>
      <w:spacing w:line="318" w:lineRule="atLeast"/>
      <w:ind w:left="369" w:firstLine="369"/>
      <w:textAlignment w:val="baseline"/>
    </w:pPr>
    <w:rPr>
      <w:rFonts w:ascii="宋体" w:hAnsi="Calibri"/>
      <w:szCs w:val="20"/>
    </w:rPr>
  </w:style>
  <w:style w:type="paragraph" w:customStyle="1" w:styleId="30">
    <w:name w:val="正文1"/>
    <w:autoRedefine/>
    <w:qFormat/>
    <w:uiPriority w:val="0"/>
    <w:rPr>
      <w:rFonts w:ascii="Times New Roman" w:hAnsi="Times New Roman" w:eastAsia="Times New Roman" w:cs="Times New Roman"/>
      <w:sz w:val="24"/>
      <w:szCs w:val="24"/>
      <w:lang w:val="en-US" w:eastAsia="zh-CN" w:bidi="ar-SA"/>
    </w:rPr>
  </w:style>
  <w:style w:type="table" w:customStyle="1" w:styleId="31">
    <w:name w:val="Plain Table 1"/>
    <w:basedOn w:val="16"/>
    <w:autoRedefine/>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2">
    <w:name w:val="正文_0"/>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3">
    <w:name w:val="font51"/>
    <w:basedOn w:val="18"/>
    <w:autoRedefine/>
    <w:qFormat/>
    <w:uiPriority w:val="0"/>
    <w:rPr>
      <w:rFonts w:ascii="Calibri" w:hAnsi="Calibri" w:cs="Calibri"/>
      <w:color w:val="000000"/>
      <w:sz w:val="22"/>
      <w:szCs w:val="22"/>
      <w:u w:val="none"/>
    </w:rPr>
  </w:style>
  <w:style w:type="paragraph" w:customStyle="1" w:styleId="34">
    <w:name w:val="列表段落1"/>
    <w:basedOn w:val="1"/>
    <w:autoRedefine/>
    <w:qFormat/>
    <w:uiPriority w:val="34"/>
    <w:pPr>
      <w:ind w:firstLine="420" w:firstLineChars="200"/>
    </w:pPr>
    <w:rPr>
      <w:rFonts w:ascii="Calibri" w:hAnsi="Calibri"/>
      <w:szCs w:val="24"/>
    </w:rPr>
  </w:style>
  <w:style w:type="character" w:customStyle="1" w:styleId="35">
    <w:name w:val="font21"/>
    <w:basedOn w:val="18"/>
    <w:autoRedefine/>
    <w:qFormat/>
    <w:uiPriority w:val="0"/>
    <w:rPr>
      <w:rFonts w:hint="eastAsia" w:ascii="宋体" w:hAnsi="宋体" w:eastAsia="宋体" w:cs="宋体"/>
      <w:color w:val="000000"/>
      <w:sz w:val="24"/>
      <w:szCs w:val="24"/>
      <w:u w:val="none"/>
    </w:rPr>
  </w:style>
  <w:style w:type="paragraph" w:customStyle="1" w:styleId="36">
    <w:name w:val="GHT-正文"/>
    <w:basedOn w:val="1"/>
    <w:autoRedefine/>
    <w:qFormat/>
    <w:uiPriority w:val="0"/>
    <w:pPr>
      <w:adjustRightInd w:val="0"/>
      <w:spacing w:line="400" w:lineRule="exact"/>
      <w:ind w:firstLine="520" w:firstLineChars="200"/>
      <w:textAlignment w:val="baseline"/>
    </w:pPr>
    <w:rPr>
      <w:color w:val="000000"/>
      <w:spacing w:val="10"/>
      <w:kern w:val="0"/>
      <w:sz w:val="24"/>
    </w:rPr>
  </w:style>
  <w:style w:type="table" w:customStyle="1" w:styleId="37">
    <w:name w:val="Table Normal"/>
    <w:autoRedefine/>
    <w:unhideWhenUsed/>
    <w:qFormat/>
    <w:uiPriority w:val="2"/>
    <w:tblPr>
      <w:tblCellMar>
        <w:top w:w="0" w:type="dxa"/>
        <w:left w:w="0" w:type="dxa"/>
        <w:bottom w:w="0" w:type="dxa"/>
        <w:right w:w="0" w:type="dxa"/>
      </w:tblCellMar>
    </w:tblPr>
  </w:style>
  <w:style w:type="paragraph" w:customStyle="1" w:styleId="38">
    <w:name w:val="Table Paragraph"/>
    <w:basedOn w:val="1"/>
    <w:autoRedefine/>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1369</Words>
  <Characters>7807</Characters>
  <Lines>65</Lines>
  <Paragraphs>18</Paragraphs>
  <TotalTime>4</TotalTime>
  <ScaleCrop>false</ScaleCrop>
  <LinksUpToDate>false</LinksUpToDate>
  <CharactersWithSpaces>9158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2024-01-04T03:47:29Z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E413ABD78EAF4DD2AE3493271C476C59_13</vt:lpwstr>
  </property>
</Properties>
</file>