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both"/>
        <w:rPr>
          <w:rFonts w:hint="eastAsia"/>
          <w:b/>
          <w:bCs/>
          <w:sz w:val="72"/>
          <w:szCs w:val="72"/>
        </w:rPr>
      </w:pPr>
    </w:p>
    <w:p>
      <w:pPr>
        <w:jc w:val="center"/>
        <w:rPr>
          <w:rFonts w:hint="eastAsia"/>
          <w:sz w:val="52"/>
          <w:szCs w:val="52"/>
        </w:rPr>
      </w:pPr>
      <w:r>
        <w:rPr>
          <w:rFonts w:hint="eastAsia"/>
          <w:sz w:val="52"/>
          <w:szCs w:val="52"/>
        </w:rPr>
        <w:t>蚌埠市中医医院2024年医用耗材采购及服务（第二批）</w:t>
      </w:r>
    </w:p>
    <w:p>
      <w:pPr>
        <w:pStyle w:val="2"/>
        <w:rPr>
          <w:rFonts w:hint="eastAsia"/>
        </w:rPr>
      </w:pP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2"/>
        <w:ind w:firstLine="560"/>
        <w:rPr>
          <w:sz w:val="28"/>
          <w:szCs w:val="28"/>
        </w:rPr>
      </w:pPr>
    </w:p>
    <w:p>
      <w:pPr>
        <w:ind w:firstLine="1680" w:firstLineChars="600"/>
        <w:jc w:val="left"/>
        <w:rPr>
          <w:rFonts w:ascii="宋体" w:hAnsi="宋体" w:cs="宋体"/>
          <w:sz w:val="28"/>
          <w:szCs w:val="28"/>
          <w:u w:val="single"/>
        </w:rPr>
      </w:pPr>
      <w:r>
        <w:rPr>
          <w:rFonts w:hint="eastAsia" w:ascii="宋体" w:hAnsi="宋体" w:cs="宋体"/>
          <w:sz w:val="28"/>
          <w:szCs w:val="28"/>
        </w:rPr>
        <w:t>编制单位：</w:t>
      </w:r>
      <w:r>
        <w:rPr>
          <w:rFonts w:hint="eastAsia" w:ascii="宋体" w:hAnsi="宋体" w:cs="宋体"/>
          <w:sz w:val="28"/>
          <w:szCs w:val="28"/>
          <w:u w:val="single"/>
        </w:rPr>
        <w:t>蚌埠市中医医院</w:t>
      </w:r>
    </w:p>
    <w:p>
      <w:pPr>
        <w:pStyle w:val="2"/>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w:t>
      </w:r>
      <w:r>
        <w:rPr>
          <w:rFonts w:hint="eastAsia" w:ascii="宋体" w:hAnsi="宋体" w:cs="宋体"/>
          <w:sz w:val="28"/>
          <w:szCs w:val="28"/>
          <w:u w:val="single"/>
          <w:lang w:val="en-US" w:eastAsia="zh-CN"/>
        </w:rPr>
        <w:t>4</w:t>
      </w:r>
      <w:r>
        <w:rPr>
          <w:rFonts w:hint="eastAsia" w:ascii="宋体" w:hAnsi="宋体" w:cs="宋体"/>
          <w:sz w:val="28"/>
          <w:szCs w:val="28"/>
          <w:u w:val="single"/>
        </w:rPr>
        <w:t>年</w:t>
      </w:r>
      <w:r>
        <w:rPr>
          <w:rFonts w:hint="eastAsia" w:ascii="宋体" w:hAnsi="宋体" w:cs="宋体"/>
          <w:sz w:val="28"/>
          <w:szCs w:val="28"/>
          <w:u w:val="single"/>
          <w:lang w:val="en-US" w:eastAsia="zh-CN"/>
        </w:rPr>
        <w:t>6</w:t>
      </w:r>
      <w:r>
        <w:rPr>
          <w:rFonts w:hint="eastAsia" w:ascii="宋体" w:hAnsi="宋体" w:cs="宋体"/>
          <w:sz w:val="28"/>
          <w:szCs w:val="28"/>
          <w:u w:val="single"/>
        </w:rPr>
        <w:t>月</w:t>
      </w:r>
      <w:r>
        <w:rPr>
          <w:rFonts w:hint="eastAsia" w:ascii="宋体" w:hAnsi="宋体" w:cs="宋体"/>
          <w:sz w:val="28"/>
          <w:szCs w:val="28"/>
          <w:u w:val="single"/>
          <w:lang w:val="en-US" w:eastAsia="zh-CN"/>
        </w:rPr>
        <w:t>18</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2"/>
        <w:rPr>
          <w:kern w:val="0"/>
          <w:shd w:val="clear" w:color="auto" w:fill="FFFFFF"/>
        </w:rPr>
      </w:pPr>
    </w:p>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pStyle w:val="2"/>
        <w:ind w:left="0" w:leftChars="0" w:firstLine="0" w:firstLineChars="0"/>
        <w:rPr>
          <w:kern w:val="0"/>
          <w:shd w:val="clear" w:color="auto" w:fill="FFFFFF"/>
        </w:rPr>
      </w:pP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1、项目名称：蚌埠市中医医院2024年医用耗材采购及服务（第二批）；</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2、项目编号： ZCGF-BBZYYY-2024027；</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3、主要内容：蚌埠市中医医院2024年医用耗材采购及服务（第二批），本项目分5个包， 详见采购需求报告；</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4、项目总预算：69.6万元  ； </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5、质保期：耗材全生命周期；</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6、资金来源：自筹资金；</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7、服务期：2年，以1+1形式签订合同，即先签订一年合同，如一年之后无重大调整，且中标人服务满足临床需求，则经审批后可续签一年合同。（如遇国家和省市政策价格调整须无条件严格按规定执行）；</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8、供货时间：接医院通知后，按医院要求时间进行供货；</w:t>
      </w:r>
    </w:p>
    <w:p>
      <w:pPr>
        <w:widowControl/>
        <w:snapToGrid w:val="0"/>
        <w:spacing w:line="360" w:lineRule="auto"/>
        <w:jc w:val="left"/>
        <w:rPr>
          <w:rFonts w:hint="eastAsia" w:ascii="宋体" w:hAnsi="宋体" w:cs="宋体"/>
          <w:color w:val="auto"/>
          <w:kern w:val="0"/>
          <w:sz w:val="24"/>
          <w:szCs w:val="24"/>
          <w:shd w:val="clear" w:color="auto" w:fill="FFFFFF"/>
          <w:lang w:val="zh-CN" w:eastAsia="zh-CN"/>
        </w:rPr>
      </w:pPr>
      <w:r>
        <w:rPr>
          <w:rFonts w:hint="eastAsia" w:ascii="宋体" w:hAnsi="宋体" w:cs="宋体"/>
          <w:color w:val="auto"/>
          <w:kern w:val="0"/>
          <w:sz w:val="24"/>
          <w:szCs w:val="24"/>
          <w:shd w:val="clear" w:color="auto" w:fill="FFFFFF"/>
          <w:lang w:val="en-US" w:eastAsia="zh-CN"/>
        </w:rPr>
        <w:t>9、拟采用的评审方法：综合评分法；</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10、付款方式：货到验收合格并办理完入库手续后6个月内全额支付该批货款  ；</w:t>
      </w:r>
    </w:p>
    <w:p>
      <w:pPr>
        <w:pStyle w:val="12"/>
        <w:widowControl/>
        <w:shd w:val="clear" w:color="auto" w:fill="FFFFFF"/>
        <w:spacing w:beforeAutospacing="0" w:afterAutospacing="0" w:line="360" w:lineRule="auto"/>
        <w:rPr>
          <w:rFonts w:hint="eastAsia" w:ascii="宋体" w:hAnsi="宋体" w:cs="宋体"/>
          <w:szCs w:val="24"/>
          <w:highlight w:val="none"/>
          <w:shd w:val="clear" w:color="auto" w:fill="FFFFFF"/>
        </w:rPr>
      </w:pPr>
      <w:r>
        <w:rPr>
          <w:rFonts w:hint="eastAsia" w:ascii="宋体" w:hAnsi="宋体" w:cs="宋体"/>
          <w:szCs w:val="24"/>
          <w:highlight w:val="none"/>
          <w:shd w:val="clear" w:color="auto" w:fill="FFFFFF"/>
          <w:lang w:val="en-US" w:eastAsia="zh-CN"/>
        </w:rPr>
        <w:t>11</w:t>
      </w:r>
      <w:r>
        <w:rPr>
          <w:rFonts w:hint="eastAsia" w:ascii="宋体" w:hAnsi="宋体" w:cs="宋体"/>
          <w:szCs w:val="24"/>
          <w:highlight w:val="none"/>
          <w:shd w:val="clear" w:color="auto" w:fill="FFFFFF"/>
        </w:rPr>
        <w:t>、申请人的资格要求：</w:t>
      </w:r>
    </w:p>
    <w:p>
      <w:pPr>
        <w:autoSpaceDE w:val="0"/>
        <w:autoSpaceDN w:val="0"/>
        <w:adjustRightInd w:val="0"/>
        <w:spacing w:line="360" w:lineRule="auto"/>
        <w:jc w:val="left"/>
        <w:rPr>
          <w:rFonts w:hint="eastAsia" w:ascii="宋体" w:hAnsi="宋体"/>
          <w:color w:val="auto"/>
          <w:sz w:val="24"/>
          <w:szCs w:val="28"/>
          <w:highlight w:val="none"/>
        </w:rPr>
      </w:pPr>
      <w:r>
        <w:rPr>
          <w:rFonts w:hint="eastAsia" w:ascii="宋体" w:hAnsi="宋体"/>
          <w:color w:val="auto"/>
          <w:sz w:val="24"/>
          <w:szCs w:val="28"/>
          <w:highlight w:val="none"/>
        </w:rPr>
        <w:t>1.满足《中华人民共和国政府采购法》第二十二条规定；</w:t>
      </w:r>
    </w:p>
    <w:p>
      <w:pPr>
        <w:autoSpaceDE w:val="0"/>
        <w:autoSpaceDN w:val="0"/>
        <w:adjustRightInd w:val="0"/>
        <w:spacing w:line="360" w:lineRule="auto"/>
        <w:jc w:val="left"/>
        <w:rPr>
          <w:rFonts w:hint="eastAsia" w:ascii="宋体" w:hAnsi="宋体"/>
          <w:color w:val="auto"/>
          <w:sz w:val="24"/>
          <w:szCs w:val="28"/>
          <w:highlight w:val="none"/>
        </w:rPr>
      </w:pPr>
      <w:r>
        <w:rPr>
          <w:rFonts w:hint="eastAsia" w:ascii="宋体" w:hAnsi="宋体"/>
          <w:color w:val="auto"/>
          <w:sz w:val="24"/>
          <w:szCs w:val="28"/>
          <w:highlight w:val="none"/>
          <w:lang w:val="en-US" w:eastAsia="zh-CN"/>
        </w:rPr>
        <w:t>2.</w:t>
      </w:r>
      <w:r>
        <w:rPr>
          <w:rFonts w:hint="eastAsia" w:ascii="宋体" w:hAnsi="宋体"/>
          <w:color w:val="auto"/>
          <w:sz w:val="24"/>
          <w:szCs w:val="28"/>
          <w:highlight w:val="none"/>
        </w:rPr>
        <w:t>落实政府采购政策需满足的资格要求：无</w:t>
      </w:r>
    </w:p>
    <w:p>
      <w:pPr>
        <w:autoSpaceDE w:val="0"/>
        <w:autoSpaceDN w:val="0"/>
        <w:adjustRightInd w:val="0"/>
        <w:spacing w:line="360" w:lineRule="auto"/>
        <w:jc w:val="left"/>
        <w:rPr>
          <w:rFonts w:hint="eastAsia" w:ascii="宋体" w:hAnsi="宋体"/>
          <w:color w:val="auto"/>
          <w:sz w:val="24"/>
          <w:szCs w:val="28"/>
          <w:highlight w:val="none"/>
        </w:rPr>
      </w:pPr>
      <w:r>
        <w:rPr>
          <w:rFonts w:hint="eastAsia" w:ascii="宋体" w:hAnsi="宋体"/>
          <w:color w:val="auto"/>
          <w:sz w:val="24"/>
          <w:szCs w:val="28"/>
          <w:highlight w:val="none"/>
        </w:rPr>
        <w:t xml:space="preserve">3本项目的特定资格要求： </w:t>
      </w:r>
    </w:p>
    <w:p>
      <w:pPr>
        <w:autoSpaceDE w:val="0"/>
        <w:autoSpaceDN w:val="0"/>
        <w:adjustRightInd w:val="0"/>
        <w:spacing w:line="360" w:lineRule="auto"/>
        <w:jc w:val="left"/>
        <w:rPr>
          <w:rFonts w:hint="eastAsia" w:ascii="宋体" w:hAnsi="宋体"/>
          <w:color w:val="auto"/>
          <w:sz w:val="24"/>
          <w:szCs w:val="28"/>
          <w:highlight w:val="none"/>
        </w:rPr>
      </w:pPr>
      <w:r>
        <w:rPr>
          <w:rFonts w:hint="eastAsia" w:ascii="宋体" w:hAnsi="宋体"/>
          <w:color w:val="auto"/>
          <w:sz w:val="24"/>
          <w:szCs w:val="28"/>
          <w:highlight w:val="none"/>
          <w:lang w:val="en-US" w:eastAsia="zh-CN"/>
        </w:rPr>
        <w:t>3.1</w:t>
      </w:r>
      <w:r>
        <w:rPr>
          <w:rFonts w:hint="eastAsia" w:ascii="宋体" w:hAnsi="宋体"/>
          <w:color w:val="auto"/>
          <w:sz w:val="24"/>
          <w:szCs w:val="28"/>
          <w:highlight w:val="none"/>
        </w:rPr>
        <w:t>供应商须具有有效的营业执照；</w:t>
      </w:r>
    </w:p>
    <w:p>
      <w:pPr>
        <w:autoSpaceDE w:val="0"/>
        <w:autoSpaceDN w:val="0"/>
        <w:adjustRightInd w:val="0"/>
        <w:spacing w:line="360" w:lineRule="auto"/>
        <w:jc w:val="left"/>
        <w:rPr>
          <w:rFonts w:hint="eastAsia" w:ascii="宋体" w:hAnsi="宋体"/>
          <w:color w:val="auto"/>
          <w:sz w:val="24"/>
          <w:szCs w:val="28"/>
          <w:highlight w:val="none"/>
        </w:rPr>
      </w:pPr>
      <w:r>
        <w:rPr>
          <w:rFonts w:hint="eastAsia" w:ascii="宋体" w:hAnsi="宋体"/>
          <w:color w:val="auto"/>
          <w:sz w:val="24"/>
          <w:szCs w:val="28"/>
          <w:highlight w:val="none"/>
          <w:lang w:val="en-US" w:eastAsia="zh-CN"/>
        </w:rPr>
        <w:t>3.2</w:t>
      </w:r>
      <w:r>
        <w:rPr>
          <w:rFonts w:hint="eastAsia" w:ascii="宋体" w:hAnsi="宋体"/>
          <w:color w:val="auto"/>
          <w:sz w:val="24"/>
          <w:szCs w:val="28"/>
          <w:highlight w:val="none"/>
        </w:rPr>
        <w:t>供应商如为代理商须具有有效的医疗器械经营许可证或备案凭证；如所投产品制造商在国内注册成立的，代理商投标时还须提供制造商的有效医疗器械生产许可证或备案凭证；供应商如为制造商须具有有效医疗器械生产许可证或备案凭证和医疗器械经营许可证或备案凭证；</w:t>
      </w:r>
    </w:p>
    <w:p>
      <w:pPr>
        <w:autoSpaceDE w:val="0"/>
        <w:autoSpaceDN w:val="0"/>
        <w:adjustRightInd w:val="0"/>
        <w:spacing w:line="360" w:lineRule="auto"/>
        <w:jc w:val="left"/>
        <w:rPr>
          <w:rFonts w:hint="eastAsia" w:ascii="宋体" w:hAnsi="宋体"/>
          <w:color w:val="auto"/>
          <w:sz w:val="24"/>
          <w:szCs w:val="28"/>
          <w:highlight w:val="none"/>
        </w:rPr>
      </w:pPr>
      <w:r>
        <w:rPr>
          <w:rFonts w:hint="eastAsia" w:ascii="宋体" w:hAnsi="宋体"/>
          <w:color w:val="auto"/>
          <w:sz w:val="24"/>
          <w:szCs w:val="28"/>
          <w:highlight w:val="none"/>
          <w:lang w:val="en-US" w:eastAsia="zh-CN"/>
        </w:rPr>
        <w:t>3.3</w:t>
      </w:r>
      <w:r>
        <w:rPr>
          <w:rFonts w:hint="eastAsia" w:ascii="宋体" w:hAnsi="宋体"/>
          <w:color w:val="auto"/>
          <w:sz w:val="24"/>
          <w:szCs w:val="28"/>
          <w:highlight w:val="none"/>
        </w:rPr>
        <w:t>投标人须执行《安徽省公立医疗机构医用耗材采购推行“两票制”实施意见》的相关规定及当地相关政策</w:t>
      </w:r>
      <w:r>
        <w:rPr>
          <w:rFonts w:hint="eastAsia" w:ascii="宋体" w:hAnsi="宋体"/>
          <w:color w:val="auto"/>
          <w:sz w:val="24"/>
          <w:szCs w:val="28"/>
          <w:highlight w:val="none"/>
          <w:lang w:eastAsia="zh-CN"/>
        </w:rPr>
        <w:t>，</w:t>
      </w:r>
      <w:r>
        <w:rPr>
          <w:rFonts w:hint="eastAsia" w:ascii="宋体" w:hAnsi="宋体"/>
          <w:color w:val="auto"/>
          <w:sz w:val="24"/>
          <w:szCs w:val="28"/>
          <w:highlight w:val="none"/>
          <w:lang w:val="en-US" w:eastAsia="zh-CN"/>
        </w:rPr>
        <w:t>提供承诺书</w:t>
      </w:r>
      <w:r>
        <w:rPr>
          <w:rFonts w:hint="eastAsia" w:ascii="宋体" w:hAnsi="宋体"/>
          <w:color w:val="auto"/>
          <w:sz w:val="24"/>
          <w:szCs w:val="28"/>
          <w:highlight w:val="none"/>
        </w:rPr>
        <w:t>；</w:t>
      </w:r>
    </w:p>
    <w:p>
      <w:pPr>
        <w:autoSpaceDE w:val="0"/>
        <w:autoSpaceDN w:val="0"/>
        <w:adjustRightInd w:val="0"/>
        <w:spacing w:line="360" w:lineRule="auto"/>
        <w:jc w:val="left"/>
        <w:rPr>
          <w:rFonts w:hint="eastAsia" w:ascii="宋体" w:hAnsi="宋体" w:eastAsia="宋体"/>
          <w:color w:val="auto"/>
          <w:sz w:val="24"/>
          <w:szCs w:val="28"/>
          <w:highlight w:val="none"/>
          <w:lang w:eastAsia="zh-CN"/>
        </w:rPr>
      </w:pPr>
      <w:r>
        <w:rPr>
          <w:rFonts w:hint="eastAsia" w:ascii="宋体" w:hAnsi="宋体"/>
          <w:color w:val="auto"/>
          <w:sz w:val="24"/>
          <w:szCs w:val="28"/>
          <w:highlight w:val="none"/>
          <w:lang w:val="en-US" w:eastAsia="zh-CN"/>
        </w:rPr>
        <w:t>3.4</w:t>
      </w:r>
      <w:r>
        <w:rPr>
          <w:rFonts w:hint="eastAsia" w:ascii="宋体" w:hAnsi="宋体"/>
          <w:color w:val="auto"/>
          <w:sz w:val="24"/>
          <w:szCs w:val="28"/>
          <w:highlight w:val="none"/>
        </w:rPr>
        <w:t>所投产品如属于安徽省医药集中采购中心平台范围交易目录的产品须提供流水号</w:t>
      </w:r>
      <w:r>
        <w:rPr>
          <w:rFonts w:hint="eastAsia" w:ascii="宋体" w:hAnsi="宋体"/>
          <w:color w:val="auto"/>
          <w:sz w:val="24"/>
          <w:szCs w:val="28"/>
          <w:highlight w:val="none"/>
          <w:lang w:val="en-US" w:eastAsia="zh-CN"/>
        </w:rPr>
        <w:t>及限价</w:t>
      </w:r>
      <w:r>
        <w:rPr>
          <w:rFonts w:hint="eastAsia" w:ascii="宋体" w:hAnsi="宋体"/>
          <w:color w:val="auto"/>
          <w:sz w:val="24"/>
          <w:szCs w:val="28"/>
          <w:highlight w:val="none"/>
        </w:rPr>
        <w:t>，备案目录提供流水号</w:t>
      </w:r>
      <w:r>
        <w:rPr>
          <w:rFonts w:hint="eastAsia" w:ascii="宋体" w:hAnsi="宋体" w:eastAsia="宋体" w:cs="Times New Roman"/>
          <w:color w:val="auto"/>
          <w:sz w:val="24"/>
          <w:szCs w:val="28"/>
          <w:highlight w:val="none"/>
          <w:lang w:eastAsia="zh-CN"/>
        </w:rPr>
        <w:t>，</w:t>
      </w:r>
      <w:r>
        <w:rPr>
          <w:rFonts w:hint="eastAsia" w:ascii="宋体" w:hAnsi="宋体" w:eastAsia="宋体" w:cs="Times New Roman"/>
          <w:color w:val="auto"/>
          <w:sz w:val="24"/>
          <w:szCs w:val="28"/>
          <w:highlight w:val="none"/>
          <w:lang w:val="en-US" w:eastAsia="zh-CN"/>
        </w:rPr>
        <w:t>且备案目录投标产品不超过10%，如果不属于提供情况说明</w:t>
      </w:r>
      <w:r>
        <w:rPr>
          <w:rFonts w:hint="eastAsia" w:ascii="宋体" w:hAnsi="宋体" w:eastAsia="宋体" w:cs="Times New Roman"/>
          <w:color w:val="auto"/>
          <w:sz w:val="24"/>
          <w:szCs w:val="28"/>
          <w:highlight w:val="none"/>
          <w:lang w:eastAsia="zh-CN"/>
        </w:rPr>
        <w:t>。</w:t>
      </w:r>
    </w:p>
    <w:p>
      <w:pPr>
        <w:autoSpaceDE w:val="0"/>
        <w:autoSpaceDN w:val="0"/>
        <w:adjustRightInd w:val="0"/>
        <w:spacing w:line="360" w:lineRule="auto"/>
        <w:jc w:val="left"/>
        <w:rPr>
          <w:rFonts w:hint="eastAsia" w:ascii="宋体" w:hAnsi="宋体"/>
          <w:color w:val="auto"/>
          <w:sz w:val="24"/>
          <w:szCs w:val="28"/>
          <w:highlight w:val="none"/>
        </w:rPr>
      </w:pPr>
      <w:r>
        <w:rPr>
          <w:rFonts w:hint="eastAsia" w:ascii="宋体" w:hAnsi="宋体"/>
          <w:color w:val="auto"/>
          <w:sz w:val="24"/>
          <w:szCs w:val="28"/>
          <w:highlight w:val="none"/>
          <w:lang w:val="en-US" w:eastAsia="zh-CN"/>
        </w:rPr>
        <w:t>3.5</w:t>
      </w:r>
      <w:r>
        <w:rPr>
          <w:rFonts w:hint="eastAsia" w:ascii="宋体" w:hAnsi="宋体"/>
          <w:color w:val="auto"/>
          <w:sz w:val="24"/>
          <w:szCs w:val="28"/>
          <w:highlight w:val="none"/>
        </w:rPr>
        <w:t>本项目采用资格后审</w:t>
      </w:r>
      <w:r>
        <w:rPr>
          <w:rFonts w:hint="eastAsia" w:ascii="宋体" w:hAnsi="宋体" w:eastAsia="宋体" w:cs="Times New Roman"/>
          <w:color w:val="auto"/>
          <w:sz w:val="24"/>
          <w:szCs w:val="28"/>
          <w:highlight w:val="none"/>
          <w:lang w:val="en-US" w:eastAsia="zh-CN"/>
        </w:rPr>
        <w:t>，不接受联合体投标；</w:t>
      </w:r>
    </w:p>
    <w:p>
      <w:pPr>
        <w:autoSpaceDE w:val="0"/>
        <w:autoSpaceDN w:val="0"/>
        <w:adjustRightInd w:val="0"/>
        <w:spacing w:line="360" w:lineRule="auto"/>
        <w:jc w:val="left"/>
        <w:rPr>
          <w:rFonts w:hint="eastAsia" w:ascii="宋体" w:hAnsi="宋体"/>
          <w:color w:val="auto"/>
          <w:sz w:val="24"/>
          <w:szCs w:val="28"/>
          <w:highlight w:val="none"/>
        </w:rPr>
      </w:pPr>
      <w:r>
        <w:rPr>
          <w:rFonts w:hint="eastAsia" w:ascii="宋体" w:hAnsi="宋体"/>
          <w:color w:val="auto"/>
          <w:sz w:val="24"/>
          <w:szCs w:val="28"/>
          <w:highlight w:val="none"/>
          <w:lang w:val="en-US" w:eastAsia="zh-CN"/>
        </w:rPr>
        <w:t>3.6</w:t>
      </w:r>
      <w:r>
        <w:rPr>
          <w:rFonts w:hint="eastAsia" w:ascii="宋体" w:hAnsi="宋体"/>
          <w:color w:val="auto"/>
          <w:sz w:val="24"/>
          <w:szCs w:val="28"/>
          <w:highlight w:val="none"/>
        </w:rPr>
        <w:t>投标供应商存在以下不良信用记录情形之一的，不得推荐为成交候选供应商，不得确定为成交供应商：</w:t>
      </w:r>
    </w:p>
    <w:p>
      <w:pPr>
        <w:autoSpaceDE w:val="0"/>
        <w:autoSpaceDN w:val="0"/>
        <w:adjustRightInd w:val="0"/>
        <w:spacing w:line="360" w:lineRule="auto"/>
        <w:jc w:val="left"/>
        <w:rPr>
          <w:rFonts w:hint="eastAsia" w:ascii="宋体" w:hAnsi="宋体"/>
          <w:color w:val="auto"/>
          <w:sz w:val="24"/>
          <w:szCs w:val="28"/>
          <w:highlight w:val="none"/>
        </w:rPr>
      </w:pPr>
      <w:r>
        <w:rPr>
          <w:rFonts w:hint="eastAsia" w:ascii="宋体" w:hAnsi="宋体"/>
          <w:color w:val="auto"/>
          <w:sz w:val="24"/>
          <w:szCs w:val="28"/>
          <w:highlight w:val="none"/>
        </w:rPr>
        <w:t>①供应商被人民法院列入失信被执行人的；</w:t>
      </w:r>
    </w:p>
    <w:p>
      <w:pPr>
        <w:autoSpaceDE w:val="0"/>
        <w:autoSpaceDN w:val="0"/>
        <w:adjustRightInd w:val="0"/>
        <w:spacing w:line="360" w:lineRule="auto"/>
        <w:jc w:val="left"/>
        <w:rPr>
          <w:rFonts w:hint="eastAsia" w:ascii="宋体" w:hAnsi="宋体"/>
          <w:color w:val="auto"/>
          <w:sz w:val="24"/>
          <w:szCs w:val="28"/>
          <w:highlight w:val="none"/>
        </w:rPr>
      </w:pPr>
      <w:r>
        <w:rPr>
          <w:rFonts w:hint="eastAsia" w:ascii="宋体" w:hAnsi="宋体"/>
          <w:color w:val="auto"/>
          <w:sz w:val="24"/>
          <w:szCs w:val="28"/>
          <w:highlight w:val="none"/>
        </w:rPr>
        <w:t>②供应商或其法定代表人或拟派项目负责人被人民检察院列入行贿犯罪档案的；</w:t>
      </w:r>
    </w:p>
    <w:p>
      <w:pPr>
        <w:autoSpaceDE w:val="0"/>
        <w:autoSpaceDN w:val="0"/>
        <w:adjustRightInd w:val="0"/>
        <w:spacing w:line="360" w:lineRule="auto"/>
        <w:jc w:val="left"/>
        <w:rPr>
          <w:rFonts w:hint="eastAsia" w:ascii="宋体" w:hAnsi="宋体"/>
          <w:color w:val="auto"/>
          <w:sz w:val="24"/>
          <w:szCs w:val="28"/>
          <w:highlight w:val="none"/>
        </w:rPr>
      </w:pPr>
      <w:r>
        <w:rPr>
          <w:rFonts w:hint="eastAsia" w:ascii="宋体" w:hAnsi="宋体"/>
          <w:color w:val="auto"/>
          <w:sz w:val="24"/>
          <w:szCs w:val="28"/>
          <w:highlight w:val="none"/>
        </w:rPr>
        <w:t>③供应商被工商行政管理部门列入企业经营异常名录的；</w:t>
      </w:r>
    </w:p>
    <w:p>
      <w:pPr>
        <w:autoSpaceDE w:val="0"/>
        <w:autoSpaceDN w:val="0"/>
        <w:adjustRightInd w:val="0"/>
        <w:spacing w:line="360" w:lineRule="auto"/>
        <w:jc w:val="left"/>
        <w:rPr>
          <w:rFonts w:hint="eastAsia" w:ascii="宋体" w:hAnsi="宋体"/>
          <w:color w:val="auto"/>
          <w:sz w:val="24"/>
          <w:szCs w:val="28"/>
          <w:highlight w:val="none"/>
        </w:rPr>
      </w:pPr>
      <w:r>
        <w:rPr>
          <w:rFonts w:hint="eastAsia" w:ascii="宋体" w:hAnsi="宋体"/>
          <w:color w:val="auto"/>
          <w:sz w:val="24"/>
          <w:szCs w:val="28"/>
          <w:highlight w:val="none"/>
        </w:rPr>
        <w:t>④供应商被税务部门列入重大税收违法案件当事人名单的；</w:t>
      </w:r>
    </w:p>
    <w:p>
      <w:pPr>
        <w:autoSpaceDE w:val="0"/>
        <w:autoSpaceDN w:val="0"/>
        <w:adjustRightInd w:val="0"/>
        <w:spacing w:line="360" w:lineRule="auto"/>
        <w:jc w:val="left"/>
        <w:rPr>
          <w:rFonts w:hint="eastAsia" w:ascii="宋体" w:hAnsi="宋体"/>
          <w:color w:val="auto"/>
          <w:sz w:val="24"/>
          <w:szCs w:val="28"/>
          <w:highlight w:val="none"/>
        </w:rPr>
      </w:pPr>
      <w:r>
        <w:rPr>
          <w:rFonts w:hint="eastAsia" w:ascii="宋体" w:hAnsi="宋体"/>
          <w:color w:val="auto"/>
          <w:sz w:val="24"/>
          <w:szCs w:val="28"/>
          <w:highlight w:val="none"/>
        </w:rPr>
        <w:t>⑤供应商被政府采购监管部门列入政府采购严重违法失信行为记录名单的。</w:t>
      </w:r>
    </w:p>
    <w:p>
      <w:pP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br w:type="page"/>
      </w:r>
    </w:p>
    <w:p>
      <w:pPr>
        <w:spacing w:line="120" w:lineRule="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蚌埠市中医医院2024年医用耗材采购及服务（第二批）采购需求</w:t>
      </w:r>
    </w:p>
    <w:p>
      <w:pPr>
        <w:jc w:val="center"/>
        <w:rPr>
          <w:rFonts w:hint="eastAsia" w:ascii="宋体" w:hAnsi="宋体" w:eastAsia="宋体"/>
          <w:b/>
          <w:bCs/>
          <w:sz w:val="24"/>
          <w:szCs w:val="18"/>
          <w:lang w:val="en-US" w:eastAsia="zh-CN"/>
        </w:rPr>
      </w:pPr>
      <w:r>
        <w:rPr>
          <w:rFonts w:hint="eastAsia" w:ascii="宋体" w:hAnsi="宋体" w:eastAsia="宋体"/>
          <w:b/>
          <w:bCs/>
          <w:sz w:val="24"/>
          <w:szCs w:val="18"/>
          <w:lang w:val="en-US" w:eastAsia="zh-CN"/>
        </w:rPr>
        <w:t xml:space="preserve"> </w:t>
      </w:r>
    </w:p>
    <w:p>
      <w:pPr>
        <w:numPr>
          <w:ilvl w:val="0"/>
          <w:numId w:val="2"/>
        </w:numPr>
        <w:spacing w:line="360" w:lineRule="auto"/>
        <w:ind w:left="480" w:leftChars="0" w:firstLine="0" w:firstLineChars="0"/>
        <w:rPr>
          <w:rFonts w:hint="eastAsia" w:ascii="宋体" w:hAnsi="宋体" w:eastAsia="宋体" w:cs="Times New Roman"/>
          <w:b/>
          <w:bCs/>
          <w:color w:val="auto"/>
          <w:sz w:val="24"/>
          <w:szCs w:val="24"/>
          <w:highlight w:val="none"/>
          <w:lang w:val="en-US" w:eastAsia="zh-CN"/>
        </w:rPr>
      </w:pPr>
      <w:r>
        <w:rPr>
          <w:rFonts w:hint="eastAsia" w:ascii="宋体" w:hAnsi="宋体" w:eastAsia="宋体" w:cs="Times New Roman"/>
          <w:b/>
          <w:bCs/>
          <w:color w:val="auto"/>
          <w:sz w:val="24"/>
          <w:szCs w:val="24"/>
          <w:highlight w:val="none"/>
          <w:lang w:val="en-US" w:eastAsia="zh-CN"/>
        </w:rPr>
        <w:t>采购需求清单及技术参数要求</w:t>
      </w:r>
    </w:p>
    <w:tbl>
      <w:tblPr>
        <w:tblStyle w:val="14"/>
        <w:tblW w:w="8432" w:type="dxa"/>
        <w:tblInd w:w="93" w:type="dxa"/>
        <w:tblLayout w:type="fixed"/>
        <w:tblCellMar>
          <w:top w:w="0" w:type="dxa"/>
          <w:left w:w="108" w:type="dxa"/>
          <w:bottom w:w="0" w:type="dxa"/>
          <w:right w:w="108" w:type="dxa"/>
        </w:tblCellMar>
      </w:tblPr>
      <w:tblGrid>
        <w:gridCol w:w="755"/>
        <w:gridCol w:w="2926"/>
        <w:gridCol w:w="2890"/>
        <w:gridCol w:w="1861"/>
      </w:tblGrid>
      <w:tr>
        <w:tblPrEx>
          <w:tblCellMar>
            <w:top w:w="0" w:type="dxa"/>
            <w:left w:w="108" w:type="dxa"/>
            <w:bottom w:w="0" w:type="dxa"/>
            <w:right w:w="108" w:type="dxa"/>
          </w:tblCellMar>
        </w:tblPrEx>
        <w:trPr>
          <w:trHeight w:val="645" w:hRule="atLeast"/>
        </w:trPr>
        <w:tc>
          <w:tcPr>
            <w:tcW w:w="75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包号</w:t>
            </w:r>
          </w:p>
        </w:tc>
        <w:tc>
          <w:tcPr>
            <w:tcW w:w="292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000000"/>
                <w:sz w:val="22"/>
                <w:szCs w:val="22"/>
              </w:rPr>
            </w:pPr>
            <w:r>
              <w:rPr>
                <w:rFonts w:hint="eastAsia" w:ascii="宋体" w:hAnsi="宋体" w:cs="宋体"/>
                <w:b/>
                <w:bCs/>
                <w:color w:val="000000"/>
                <w:kern w:val="0"/>
                <w:sz w:val="22"/>
                <w:szCs w:val="22"/>
                <w:lang w:bidi="ar"/>
              </w:rPr>
              <w:t>品名</w:t>
            </w:r>
          </w:p>
        </w:tc>
        <w:tc>
          <w:tcPr>
            <w:tcW w:w="28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000000"/>
                <w:kern w:val="0"/>
                <w:sz w:val="22"/>
                <w:szCs w:val="22"/>
                <w:lang w:bidi="ar"/>
              </w:rPr>
            </w:pPr>
            <w:r>
              <w:rPr>
                <w:rFonts w:hint="eastAsia" w:ascii="宋体" w:hAnsi="宋体" w:cs="宋体"/>
                <w:b/>
                <w:bCs/>
                <w:color w:val="000000"/>
                <w:kern w:val="0"/>
                <w:sz w:val="22"/>
                <w:szCs w:val="22"/>
                <w:lang w:bidi="ar"/>
              </w:rPr>
              <w:t>年度预计采购金额</w:t>
            </w:r>
          </w:p>
          <w:p>
            <w:pPr>
              <w:widowControl/>
              <w:jc w:val="center"/>
              <w:textAlignment w:val="center"/>
              <w:rPr>
                <w:rFonts w:hint="default" w:ascii="宋体" w:hAnsi="宋体" w:eastAsia="宋体" w:cs="宋体"/>
                <w:b/>
                <w:bCs/>
                <w:color w:val="000000"/>
                <w:sz w:val="22"/>
                <w:szCs w:val="22"/>
                <w:lang w:val="en-US" w:eastAsia="zh-CN"/>
              </w:rPr>
            </w:pPr>
            <w:r>
              <w:rPr>
                <w:rFonts w:hint="eastAsia" w:ascii="宋体" w:hAnsi="宋体" w:cs="宋体"/>
                <w:b/>
                <w:bCs/>
                <w:color w:val="000000"/>
                <w:kern w:val="0"/>
                <w:sz w:val="22"/>
                <w:szCs w:val="22"/>
                <w:lang w:val="en-US" w:eastAsia="zh-CN" w:bidi="ar"/>
              </w:rPr>
              <w:t>(元/年）</w:t>
            </w:r>
          </w:p>
        </w:tc>
        <w:tc>
          <w:tcPr>
            <w:tcW w:w="18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000000"/>
                <w:kern w:val="0"/>
                <w:sz w:val="22"/>
                <w:szCs w:val="22"/>
                <w:lang w:eastAsia="zh-CN" w:bidi="ar"/>
              </w:rPr>
            </w:pPr>
            <w:r>
              <w:rPr>
                <w:rFonts w:hint="eastAsia" w:ascii="宋体" w:hAnsi="宋体" w:cs="宋体"/>
                <w:b/>
                <w:bCs/>
                <w:color w:val="000000"/>
                <w:kern w:val="0"/>
                <w:sz w:val="22"/>
                <w:szCs w:val="22"/>
                <w:lang w:val="en-US" w:eastAsia="zh-CN" w:bidi="ar"/>
              </w:rPr>
              <w:t>备注</w:t>
            </w:r>
          </w:p>
        </w:tc>
      </w:tr>
      <w:tr>
        <w:tblPrEx>
          <w:tblCellMar>
            <w:top w:w="0" w:type="dxa"/>
            <w:left w:w="108" w:type="dxa"/>
            <w:bottom w:w="0" w:type="dxa"/>
            <w:right w:w="108" w:type="dxa"/>
          </w:tblCellMar>
        </w:tblPrEx>
        <w:trPr>
          <w:trHeight w:val="840" w:hRule="atLeast"/>
        </w:trPr>
        <w:tc>
          <w:tcPr>
            <w:tcW w:w="75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0</w:t>
            </w:r>
            <w:r>
              <w:rPr>
                <w:rFonts w:hint="eastAsia" w:ascii="宋体" w:hAnsi="宋体" w:cs="宋体"/>
                <w:color w:val="000000"/>
                <w:kern w:val="0"/>
                <w:sz w:val="22"/>
                <w:szCs w:val="22"/>
                <w:lang w:val="en-US" w:eastAsia="zh-CN" w:bidi="ar"/>
              </w:rPr>
              <w:t>1</w:t>
            </w:r>
            <w:r>
              <w:rPr>
                <w:rFonts w:hint="eastAsia" w:ascii="宋体" w:hAnsi="宋体" w:cs="宋体"/>
                <w:color w:val="000000"/>
                <w:kern w:val="0"/>
                <w:sz w:val="22"/>
                <w:szCs w:val="22"/>
                <w:lang w:bidi="ar"/>
              </w:rPr>
              <w:t>包</w:t>
            </w:r>
          </w:p>
        </w:tc>
        <w:tc>
          <w:tcPr>
            <w:tcW w:w="292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kern w:val="0"/>
                <w:sz w:val="22"/>
                <w:szCs w:val="22"/>
                <w:lang w:val="en-US" w:eastAsia="zh-CN" w:bidi="ar"/>
              </w:rPr>
              <w:t>妇科耗材</w:t>
            </w:r>
          </w:p>
        </w:tc>
        <w:tc>
          <w:tcPr>
            <w:tcW w:w="28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sz w:val="22"/>
                <w:szCs w:val="22"/>
                <w:lang w:val="en-US" w:eastAsia="zh-CN"/>
              </w:rPr>
            </w:pPr>
            <w:r>
              <w:rPr>
                <w:rFonts w:hint="eastAsia" w:ascii="宋体" w:hAnsi="宋体" w:cs="宋体"/>
                <w:color w:val="000000"/>
                <w:kern w:val="0"/>
                <w:sz w:val="22"/>
                <w:szCs w:val="22"/>
                <w:lang w:val="en-US" w:eastAsia="zh-CN" w:bidi="ar"/>
              </w:rPr>
              <w:t>180000.00</w:t>
            </w:r>
          </w:p>
        </w:tc>
        <w:tc>
          <w:tcPr>
            <w:tcW w:w="1861"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 xml:space="preserve"> 具体内容见采购需求</w:t>
            </w:r>
          </w:p>
        </w:tc>
      </w:tr>
      <w:tr>
        <w:tblPrEx>
          <w:tblCellMar>
            <w:top w:w="0" w:type="dxa"/>
            <w:left w:w="108" w:type="dxa"/>
            <w:bottom w:w="0" w:type="dxa"/>
            <w:right w:w="108" w:type="dxa"/>
          </w:tblCellMar>
        </w:tblPrEx>
        <w:trPr>
          <w:trHeight w:val="840" w:hRule="atLeast"/>
        </w:trPr>
        <w:tc>
          <w:tcPr>
            <w:tcW w:w="75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0</w:t>
            </w:r>
            <w:r>
              <w:rPr>
                <w:rFonts w:hint="eastAsia" w:ascii="宋体" w:hAnsi="宋体" w:cs="宋体"/>
                <w:color w:val="000000"/>
                <w:kern w:val="0"/>
                <w:sz w:val="22"/>
                <w:szCs w:val="22"/>
                <w:lang w:val="en-US" w:eastAsia="zh-CN" w:bidi="ar"/>
              </w:rPr>
              <w:t>2</w:t>
            </w:r>
            <w:r>
              <w:rPr>
                <w:rFonts w:hint="eastAsia" w:ascii="宋体" w:hAnsi="宋体" w:cs="宋体"/>
                <w:color w:val="000000"/>
                <w:kern w:val="0"/>
                <w:sz w:val="22"/>
                <w:szCs w:val="22"/>
                <w:lang w:bidi="ar"/>
              </w:rPr>
              <w:t>包</w:t>
            </w:r>
          </w:p>
        </w:tc>
        <w:tc>
          <w:tcPr>
            <w:tcW w:w="292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口腔科耗材</w:t>
            </w:r>
          </w:p>
        </w:tc>
        <w:tc>
          <w:tcPr>
            <w:tcW w:w="28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140000.00</w:t>
            </w:r>
          </w:p>
        </w:tc>
        <w:tc>
          <w:tcPr>
            <w:tcW w:w="1861" w:type="dxa"/>
            <w:vMerge w:val="continue"/>
            <w:tcBorders>
              <w:left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 w:val="22"/>
                <w:szCs w:val="22"/>
                <w:lang w:bidi="ar"/>
              </w:rPr>
            </w:pPr>
          </w:p>
        </w:tc>
      </w:tr>
      <w:tr>
        <w:tblPrEx>
          <w:tblCellMar>
            <w:top w:w="0" w:type="dxa"/>
            <w:left w:w="108" w:type="dxa"/>
            <w:bottom w:w="0" w:type="dxa"/>
            <w:right w:w="108" w:type="dxa"/>
          </w:tblCellMar>
        </w:tblPrEx>
        <w:trPr>
          <w:trHeight w:val="840" w:hRule="atLeast"/>
        </w:trPr>
        <w:tc>
          <w:tcPr>
            <w:tcW w:w="75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0</w:t>
            </w:r>
            <w:r>
              <w:rPr>
                <w:rFonts w:hint="eastAsia" w:ascii="宋体" w:hAnsi="宋体" w:cs="宋体"/>
                <w:color w:val="000000"/>
                <w:kern w:val="0"/>
                <w:sz w:val="22"/>
                <w:szCs w:val="22"/>
                <w:lang w:val="en-US" w:eastAsia="zh-CN" w:bidi="ar"/>
              </w:rPr>
              <w:t>3</w:t>
            </w:r>
            <w:r>
              <w:rPr>
                <w:rFonts w:hint="eastAsia" w:ascii="宋体" w:hAnsi="宋体" w:cs="宋体"/>
                <w:color w:val="000000"/>
                <w:kern w:val="0"/>
                <w:sz w:val="22"/>
                <w:szCs w:val="22"/>
                <w:lang w:bidi="ar"/>
              </w:rPr>
              <w:t>包</w:t>
            </w:r>
          </w:p>
        </w:tc>
        <w:tc>
          <w:tcPr>
            <w:tcW w:w="292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皮肤科耗材</w:t>
            </w:r>
          </w:p>
        </w:tc>
        <w:tc>
          <w:tcPr>
            <w:tcW w:w="28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186000.00</w:t>
            </w:r>
          </w:p>
        </w:tc>
        <w:tc>
          <w:tcPr>
            <w:tcW w:w="1861" w:type="dxa"/>
            <w:vMerge w:val="continue"/>
            <w:tcBorders>
              <w:left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 w:val="22"/>
                <w:szCs w:val="22"/>
                <w:lang w:bidi="ar"/>
              </w:rPr>
            </w:pPr>
          </w:p>
        </w:tc>
      </w:tr>
      <w:tr>
        <w:tblPrEx>
          <w:tblCellMar>
            <w:top w:w="0" w:type="dxa"/>
            <w:left w:w="108" w:type="dxa"/>
            <w:bottom w:w="0" w:type="dxa"/>
            <w:right w:w="108" w:type="dxa"/>
          </w:tblCellMar>
        </w:tblPrEx>
        <w:trPr>
          <w:trHeight w:val="840" w:hRule="atLeast"/>
        </w:trPr>
        <w:tc>
          <w:tcPr>
            <w:tcW w:w="75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0</w:t>
            </w:r>
            <w:r>
              <w:rPr>
                <w:rFonts w:hint="eastAsia" w:ascii="宋体" w:hAnsi="宋体" w:cs="宋体"/>
                <w:color w:val="000000"/>
                <w:kern w:val="0"/>
                <w:sz w:val="22"/>
                <w:szCs w:val="22"/>
                <w:lang w:val="en-US" w:eastAsia="zh-CN" w:bidi="ar"/>
              </w:rPr>
              <w:t>4</w:t>
            </w:r>
            <w:r>
              <w:rPr>
                <w:rFonts w:hint="eastAsia" w:ascii="宋体" w:hAnsi="宋体" w:cs="宋体"/>
                <w:color w:val="000000"/>
                <w:kern w:val="0"/>
                <w:sz w:val="22"/>
                <w:szCs w:val="22"/>
                <w:lang w:bidi="ar"/>
              </w:rPr>
              <w:t>包</w:t>
            </w:r>
          </w:p>
        </w:tc>
        <w:tc>
          <w:tcPr>
            <w:tcW w:w="292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五官科耗材</w:t>
            </w:r>
          </w:p>
        </w:tc>
        <w:tc>
          <w:tcPr>
            <w:tcW w:w="28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140000.00</w:t>
            </w:r>
          </w:p>
        </w:tc>
        <w:tc>
          <w:tcPr>
            <w:tcW w:w="1861" w:type="dxa"/>
            <w:vMerge w:val="continue"/>
            <w:tcBorders>
              <w:left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 w:val="22"/>
                <w:szCs w:val="22"/>
                <w:lang w:bidi="ar"/>
              </w:rPr>
            </w:pPr>
          </w:p>
        </w:tc>
      </w:tr>
      <w:tr>
        <w:tblPrEx>
          <w:tblCellMar>
            <w:top w:w="0" w:type="dxa"/>
            <w:left w:w="108" w:type="dxa"/>
            <w:bottom w:w="0" w:type="dxa"/>
            <w:right w:w="108" w:type="dxa"/>
          </w:tblCellMar>
        </w:tblPrEx>
        <w:trPr>
          <w:trHeight w:val="840" w:hRule="atLeast"/>
        </w:trPr>
        <w:tc>
          <w:tcPr>
            <w:tcW w:w="75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0</w:t>
            </w:r>
            <w:r>
              <w:rPr>
                <w:rFonts w:hint="eastAsia" w:ascii="宋体" w:hAnsi="宋体" w:cs="宋体"/>
                <w:color w:val="000000"/>
                <w:kern w:val="0"/>
                <w:sz w:val="22"/>
                <w:szCs w:val="22"/>
                <w:lang w:val="en-US" w:eastAsia="zh-CN" w:bidi="ar"/>
              </w:rPr>
              <w:t>5</w:t>
            </w:r>
            <w:r>
              <w:rPr>
                <w:rFonts w:hint="eastAsia" w:ascii="宋体" w:hAnsi="宋体" w:cs="宋体"/>
                <w:color w:val="000000"/>
                <w:kern w:val="0"/>
                <w:sz w:val="22"/>
                <w:szCs w:val="22"/>
                <w:lang w:bidi="ar"/>
              </w:rPr>
              <w:t>包</w:t>
            </w:r>
          </w:p>
        </w:tc>
        <w:tc>
          <w:tcPr>
            <w:tcW w:w="292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康复科耗材</w:t>
            </w:r>
          </w:p>
        </w:tc>
        <w:tc>
          <w:tcPr>
            <w:tcW w:w="28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color w:val="000000"/>
                <w:kern w:val="0"/>
                <w:sz w:val="22"/>
                <w:szCs w:val="22"/>
                <w:lang w:val="en-US" w:eastAsia="zh-CN" w:bidi="ar"/>
              </w:rPr>
            </w:pPr>
            <w:r>
              <w:rPr>
                <w:rFonts w:hint="eastAsia" w:ascii="宋体" w:hAnsi="宋体" w:cs="宋体"/>
                <w:color w:val="000000"/>
                <w:kern w:val="0"/>
                <w:sz w:val="22"/>
                <w:szCs w:val="22"/>
                <w:lang w:val="en-US" w:eastAsia="zh-CN" w:bidi="ar"/>
              </w:rPr>
              <w:t>50000.00</w:t>
            </w:r>
          </w:p>
        </w:tc>
        <w:tc>
          <w:tcPr>
            <w:tcW w:w="1861" w:type="dxa"/>
            <w:vMerge w:val="continue"/>
            <w:tcBorders>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 w:val="22"/>
                <w:szCs w:val="22"/>
                <w:lang w:bidi="ar"/>
              </w:rPr>
            </w:pPr>
          </w:p>
        </w:tc>
      </w:tr>
    </w:tbl>
    <w:p>
      <w:pPr>
        <w:pStyle w:val="2"/>
        <w:numPr>
          <w:numId w:val="0"/>
        </w:numPr>
        <w:ind w:left="480" w:leftChars="0"/>
        <w:rPr>
          <w:rFonts w:hint="eastAsia"/>
          <w:lang w:val="en-US" w:eastAsia="zh-CN"/>
        </w:rPr>
      </w:pPr>
    </w:p>
    <w:p>
      <w:pPr>
        <w:spacing w:line="360" w:lineRule="auto"/>
        <w:rPr>
          <w:rFonts w:hint="eastAsia" w:ascii="宋体" w:hAnsi="宋体" w:eastAsia="宋体" w:cs="Times New Roman"/>
          <w:b/>
          <w:bCs/>
          <w:color w:val="auto"/>
          <w:sz w:val="24"/>
          <w:szCs w:val="24"/>
          <w:highlight w:val="none"/>
          <w:lang w:val="en-US" w:eastAsia="zh-CN"/>
        </w:rPr>
      </w:pPr>
      <w:r>
        <w:rPr>
          <w:rFonts w:hint="eastAsia" w:ascii="宋体" w:hAnsi="宋体" w:eastAsia="宋体" w:cs="Times New Roman"/>
          <w:b/>
          <w:bCs/>
          <w:color w:val="auto"/>
          <w:sz w:val="24"/>
          <w:szCs w:val="24"/>
          <w:highlight w:val="none"/>
          <w:lang w:val="en-US" w:eastAsia="zh-CN"/>
        </w:rPr>
        <w:t xml:space="preserve">01包：妇产科耗材  </w:t>
      </w:r>
    </w:p>
    <w:p>
      <w:pPr>
        <w:spacing w:line="360" w:lineRule="auto"/>
        <w:rPr>
          <w:rFonts w:hint="default" w:ascii="宋体" w:hAnsi="宋体" w:eastAsia="宋体" w:cs="Times New Roman"/>
          <w:b/>
          <w:bCs/>
          <w:color w:val="auto"/>
          <w:sz w:val="24"/>
          <w:szCs w:val="24"/>
          <w:highlight w:val="none"/>
          <w:lang w:val="en-US" w:eastAsia="zh-CN"/>
        </w:rPr>
      </w:pPr>
      <w:r>
        <w:rPr>
          <w:rFonts w:hint="eastAsia" w:ascii="宋体" w:hAnsi="宋体" w:eastAsia="宋体" w:cs="Times New Roman"/>
          <w:b/>
          <w:bCs/>
          <w:color w:val="auto"/>
          <w:sz w:val="24"/>
          <w:szCs w:val="24"/>
          <w:highlight w:val="none"/>
          <w:lang w:val="en-US" w:eastAsia="zh-CN"/>
        </w:rPr>
        <w:t>预算金额：18万元/年</w:t>
      </w:r>
    </w:p>
    <w:p>
      <w:pPr>
        <w:rPr>
          <w:rFonts w:hint="eastAsia" w:eastAsia="宋体"/>
          <w:lang w:eastAsia="zh-CN"/>
        </w:rPr>
      </w:pPr>
    </w:p>
    <w:tbl>
      <w:tblPr>
        <w:tblStyle w:val="15"/>
        <w:tblW w:w="88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1"/>
        <w:gridCol w:w="2494"/>
        <w:gridCol w:w="3436"/>
        <w:gridCol w:w="838"/>
        <w:gridCol w:w="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trPr>
        <w:tc>
          <w:tcPr>
            <w:tcW w:w="1351"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eastAsia="宋体" w:cs="宋体"/>
                <w:b/>
                <w:bCs/>
                <w:i w:val="0"/>
                <w:iCs w:val="0"/>
                <w:color w:val="000000"/>
                <w:kern w:val="0"/>
                <w:sz w:val="21"/>
                <w:szCs w:val="21"/>
                <w:u w:val="none"/>
                <w:lang w:val="en-US" w:eastAsia="zh-CN" w:bidi="ar"/>
              </w:rPr>
              <w:t>产品类别</w:t>
            </w:r>
          </w:p>
        </w:tc>
        <w:tc>
          <w:tcPr>
            <w:tcW w:w="2494" w:type="dxa"/>
            <w:noWrap w:val="0"/>
            <w:vAlign w:val="center"/>
          </w:tcPr>
          <w:p>
            <w:pPr>
              <w:keepNext w:val="0"/>
              <w:keepLines w:val="0"/>
              <w:widowControl/>
              <w:suppressLineNumbers w:val="0"/>
              <w:ind w:firstLine="632" w:firstLineChars="300"/>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eastAsia="宋体" w:cs="宋体"/>
                <w:b/>
                <w:bCs/>
                <w:i w:val="0"/>
                <w:iCs w:val="0"/>
                <w:color w:val="000000"/>
                <w:kern w:val="0"/>
                <w:sz w:val="21"/>
                <w:szCs w:val="21"/>
                <w:u w:val="none"/>
                <w:lang w:val="en-US" w:eastAsia="zh-CN" w:bidi="ar"/>
              </w:rPr>
              <w:t>参数规格                                       （产品构成﹑尺寸﹑使用要求﹑生产工艺﹑等要求）</w:t>
            </w:r>
          </w:p>
        </w:tc>
        <w:tc>
          <w:tcPr>
            <w:tcW w:w="3436"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eastAsia="宋体" w:cs="宋体"/>
                <w:b/>
                <w:bCs/>
                <w:i w:val="0"/>
                <w:iCs w:val="0"/>
                <w:color w:val="000000"/>
                <w:kern w:val="0"/>
                <w:sz w:val="21"/>
                <w:szCs w:val="21"/>
                <w:u w:val="none"/>
                <w:lang w:val="en-US" w:eastAsia="zh-CN" w:bidi="ar"/>
              </w:rPr>
              <w:t>适用范围</w:t>
            </w:r>
          </w:p>
        </w:tc>
        <w:tc>
          <w:tcPr>
            <w:tcW w:w="838"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eastAsia="宋体" w:cs="宋体"/>
                <w:b/>
                <w:bCs/>
                <w:i w:val="0"/>
                <w:iCs w:val="0"/>
                <w:color w:val="000000"/>
                <w:kern w:val="0"/>
                <w:sz w:val="21"/>
                <w:szCs w:val="21"/>
                <w:u w:val="none"/>
                <w:lang w:val="en-US" w:eastAsia="zh-CN" w:bidi="ar"/>
              </w:rPr>
              <w:t>价格（元）</w:t>
            </w:r>
          </w:p>
        </w:tc>
        <w:tc>
          <w:tcPr>
            <w:tcW w:w="761"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0" w:hRule="atLeast"/>
        </w:trPr>
        <w:tc>
          <w:tcPr>
            <w:tcW w:w="1351" w:type="dxa"/>
            <w:noWrap w:val="0"/>
            <w:vAlign w:val="top"/>
          </w:tcPr>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sz w:val="21"/>
                <w:szCs w:val="21"/>
                <w:vertAlign w:val="baseline"/>
                <w:lang w:eastAsia="zh-CN"/>
              </w:rPr>
              <w:t>AED电极片</w:t>
            </w:r>
          </w:p>
        </w:tc>
        <w:tc>
          <w:tcPr>
            <w:tcW w:w="2494" w:type="dxa"/>
            <w:noWrap w:val="0"/>
            <w:vAlign w:val="top"/>
          </w:tcPr>
          <w:p>
            <w:pPr>
              <w:jc w:val="left"/>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首先是导电片，它负责传递电流到患者的心脏，实现除颤效果。 其次是连接线，它将除颤器与导电片连接起来，确保电流传输的稳定性.最后是连接器，它用于将导电片与除颤器连接起来，确保设备的正常运行。</w:t>
            </w:r>
          </w:p>
        </w:tc>
        <w:tc>
          <w:tcPr>
            <w:tcW w:w="3436" w:type="dxa"/>
            <w:noWrap w:val="0"/>
            <w:vAlign w:val="top"/>
          </w:tcPr>
          <w:p>
            <w:pPr>
              <w:jc w:val="left"/>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1.心脏手术的术前和术中监测，也可用于诊断和治疗各种心律失常、心肌梗死等</w:t>
            </w:r>
          </w:p>
          <w:p>
            <w:pPr>
              <w:ind w:left="210" w:hanging="210" w:hangingChars="100"/>
              <w:jc w:val="left"/>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2.心脏电极的定期使用，通常使用时间为24小时。可以记录心电活动的情况，并且可以随时提醒医生，以便及时发现和处理任何异常情况。</w:t>
            </w:r>
          </w:p>
          <w:p>
            <w:pPr>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eastAsia="zh-CN"/>
              </w:rPr>
              <w:t>3.在心电监护期间，电极片需要处于固定的位置，以避免因肢体活动或呼吸等影响电极片位置的准确性。</w:t>
            </w:r>
          </w:p>
        </w:tc>
        <w:tc>
          <w:tcPr>
            <w:tcW w:w="838" w:type="dxa"/>
            <w:noWrap w:val="0"/>
            <w:vAlign w:val="top"/>
          </w:tcPr>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390</w:t>
            </w:r>
          </w:p>
        </w:tc>
        <w:tc>
          <w:tcPr>
            <w:tcW w:w="761" w:type="dxa"/>
            <w:noWrap w:val="0"/>
            <w:vAlign w:val="top"/>
          </w:tcPr>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0" w:hRule="atLeast"/>
        </w:trPr>
        <w:tc>
          <w:tcPr>
            <w:tcW w:w="1351" w:type="dxa"/>
            <w:noWrap w:val="0"/>
            <w:vAlign w:val="top"/>
          </w:tcPr>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一次性使用宫颈扩张器</w:t>
            </w:r>
          </w:p>
        </w:tc>
        <w:tc>
          <w:tcPr>
            <w:tcW w:w="2494" w:type="dxa"/>
            <w:noWrap w:val="0"/>
            <w:vAlign w:val="top"/>
          </w:tcPr>
          <w:p>
            <w:pPr>
              <w:jc w:val="left"/>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1.产品由棒体、指示线、注水口充水管、导管接头组成；</w:t>
            </w:r>
          </w:p>
          <w:p>
            <w:pPr>
              <w:jc w:val="left"/>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2.带注水装置，40s-360s无痛扩张宫颈；</w:t>
            </w:r>
          </w:p>
          <w:p>
            <w:pPr>
              <w:jc w:val="left"/>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3.宫颈扩张器棒体是聚乙烯醇缩甲醛，指示线由尼龙线材料制成，充水管为 PA 材料制成，导管接头由 ABS 材料制成。</w:t>
            </w:r>
          </w:p>
        </w:tc>
        <w:tc>
          <w:tcPr>
            <w:tcW w:w="3436" w:type="dxa"/>
            <w:noWrap w:val="0"/>
            <w:vAlign w:val="top"/>
          </w:tcPr>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用于机械扩张子宫颈、牵开会阴组织。适用于所有妇产科临床手术、检查及促分娩过程中的子宫颈管扩张</w:t>
            </w:r>
          </w:p>
        </w:tc>
        <w:tc>
          <w:tcPr>
            <w:tcW w:w="838" w:type="dxa"/>
            <w:noWrap w:val="0"/>
            <w:vAlign w:val="top"/>
          </w:tcPr>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320</w:t>
            </w:r>
          </w:p>
        </w:tc>
        <w:tc>
          <w:tcPr>
            <w:tcW w:w="761" w:type="dxa"/>
            <w:noWrap w:val="0"/>
            <w:vAlign w:val="top"/>
          </w:tcPr>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351" w:type="dxa"/>
            <w:noWrap w:val="0"/>
            <w:vAlign w:val="top"/>
          </w:tcPr>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sz w:val="21"/>
                <w:szCs w:val="21"/>
                <w:vertAlign w:val="baseline"/>
                <w:lang w:eastAsia="zh-CN"/>
              </w:rPr>
              <w:t>宫腔用交联透明质酸钠凝胶</w:t>
            </w:r>
          </w:p>
        </w:tc>
        <w:tc>
          <w:tcPr>
            <w:tcW w:w="2494" w:type="dxa"/>
            <w:noWrap w:val="0"/>
            <w:vAlign w:val="top"/>
          </w:tcPr>
          <w:p>
            <w:pPr>
              <w:jc w:val="left"/>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1.产品组成：本品由预充式注射器、一次性使用延长管和预灌封在注射器中的凝胶组成</w:t>
            </w:r>
          </w:p>
          <w:p>
            <w:pPr>
              <w:jc w:val="left"/>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2.结构：采用自交联制备技术，不添加任何交联剂。</w:t>
            </w:r>
          </w:p>
          <w:p>
            <w:pPr>
              <w:jc w:val="left"/>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3.凝胶组成：交联透明质酸纳、氯化钠、磷酸氢二钠、磷酸二氢钠和注射用水等组成</w:t>
            </w:r>
          </w:p>
          <w:p>
            <w:pPr>
              <w:jc w:val="left"/>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4.有效使用量：宫腔用交联透明质酸钠凝胶的有效使用量应不小于标示装量的80%。</w:t>
            </w:r>
          </w:p>
          <w:p>
            <w:pPr>
              <w:jc w:val="left"/>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5.无菌：宫腔用交联透明质酸钠凝胶应为无菌，一次性使用延长管应为无菌。</w:t>
            </w:r>
          </w:p>
          <w:p>
            <w:pPr>
              <w:jc w:val="left"/>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6.宫腔使用人流术后，防止宫腔黏连，修复损伤</w:t>
            </w:r>
          </w:p>
          <w:p>
            <w:pPr>
              <w:jc w:val="left"/>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7.规格：3ml/支</w:t>
            </w:r>
          </w:p>
        </w:tc>
        <w:tc>
          <w:tcPr>
            <w:tcW w:w="3436" w:type="dxa"/>
            <w:noWrap w:val="0"/>
            <w:vAlign w:val="top"/>
          </w:tcPr>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宫腔使用人流术后，防止宫腔黏连，修复损伤</w:t>
            </w:r>
          </w:p>
        </w:tc>
        <w:tc>
          <w:tcPr>
            <w:tcW w:w="838" w:type="dxa"/>
            <w:noWrap w:val="0"/>
            <w:vAlign w:val="top"/>
          </w:tcPr>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540</w:t>
            </w:r>
          </w:p>
        </w:tc>
        <w:tc>
          <w:tcPr>
            <w:tcW w:w="761" w:type="dxa"/>
            <w:noWrap w:val="0"/>
            <w:vAlign w:val="top"/>
          </w:tcPr>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8" w:hRule="atLeast"/>
        </w:trPr>
        <w:tc>
          <w:tcPr>
            <w:tcW w:w="1351" w:type="dxa"/>
            <w:noWrap w:val="0"/>
            <w:vAlign w:val="top"/>
          </w:tcPr>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利普刀头</w:t>
            </w:r>
          </w:p>
        </w:tc>
        <w:tc>
          <w:tcPr>
            <w:tcW w:w="2494" w:type="dxa"/>
            <w:noWrap w:val="0"/>
            <w:vAlign w:val="top"/>
          </w:tcPr>
          <w:p>
            <w:pPr>
              <w:jc w:val="left"/>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妇科利普刀头三角形：15*10，18*13，20*12mm</w:t>
            </w:r>
          </w:p>
          <w:p>
            <w:pPr>
              <w:jc w:val="left"/>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环形：15*8，15*10，20*10mm</w:t>
            </w:r>
          </w:p>
          <w:p>
            <w:pPr>
              <w:jc w:val="left"/>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长针PZ150mm,长大球PQ140mm,长刀PD150mm（扁头）</w:t>
            </w:r>
          </w:p>
        </w:tc>
        <w:tc>
          <w:tcPr>
            <w:tcW w:w="3436" w:type="dxa"/>
            <w:noWrap w:val="0"/>
            <w:vAlign w:val="top"/>
          </w:tcPr>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p>
          <w:p>
            <w:pPr>
              <w:jc w:val="left"/>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宫颈上皮内瘤样病变(CIN1-CIN2）,预期临床效果，</w:t>
            </w:r>
          </w:p>
          <w:p>
            <w:pPr>
              <w:jc w:val="left"/>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门诊手术时间短，恢复快</w:t>
            </w:r>
          </w:p>
        </w:tc>
        <w:tc>
          <w:tcPr>
            <w:tcW w:w="838" w:type="dxa"/>
            <w:noWrap w:val="0"/>
            <w:vAlign w:val="top"/>
          </w:tcPr>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8</w:t>
            </w:r>
          </w:p>
        </w:tc>
        <w:tc>
          <w:tcPr>
            <w:tcW w:w="761" w:type="dxa"/>
            <w:noWrap w:val="0"/>
            <w:vAlign w:val="top"/>
          </w:tcPr>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r>
    </w:tbl>
    <w:p>
      <w:pPr>
        <w:widowControl/>
        <w:shd w:val="clear" w:color="auto" w:fill="FFFFFF"/>
        <w:spacing w:before="100" w:beforeAutospacing="1" w:after="100" w:afterAutospacing="1"/>
        <w:jc w:val="both"/>
        <w:rPr>
          <w:rFonts w:hint="eastAsia" w:ascii="宋体" w:hAnsi="宋体" w:eastAsia="宋体" w:cs="宋体"/>
          <w:b/>
          <w:bCs/>
          <w:color w:val="000000"/>
          <w:kern w:val="0"/>
          <w:sz w:val="24"/>
          <w:szCs w:val="24"/>
          <w:lang w:val="en-US" w:eastAsia="zh-CN"/>
        </w:rPr>
      </w:pPr>
      <w:r>
        <w:rPr>
          <w:rFonts w:hint="eastAsia" w:ascii="宋体" w:hAnsi="宋体" w:cs="宋体"/>
          <w:b/>
          <w:bCs/>
          <w:color w:val="000000"/>
          <w:kern w:val="0"/>
          <w:sz w:val="44"/>
          <w:szCs w:val="44"/>
          <w:lang w:val="en-US" w:eastAsia="zh-CN"/>
        </w:rPr>
        <w:br w:type="page"/>
      </w:r>
      <w:r>
        <w:rPr>
          <w:rFonts w:hint="eastAsia" w:ascii="宋体" w:hAnsi="宋体" w:cs="宋体"/>
          <w:b/>
          <w:bCs/>
          <w:color w:val="000000"/>
          <w:kern w:val="0"/>
          <w:sz w:val="44"/>
          <w:szCs w:val="44"/>
          <w:lang w:val="en-US" w:eastAsia="zh-CN"/>
        </w:rPr>
        <w:t xml:space="preserve"> </w:t>
      </w:r>
      <w:r>
        <w:rPr>
          <w:rFonts w:hint="eastAsia" w:ascii="宋体" w:hAnsi="宋体" w:eastAsia="宋体" w:cs="宋体"/>
          <w:b/>
          <w:bCs/>
          <w:kern w:val="0"/>
          <w:sz w:val="24"/>
          <w:szCs w:val="24"/>
          <w:lang w:val="en-US" w:eastAsia="zh-CN"/>
        </w:rPr>
        <w:t>02包：口腔科耗材</w:t>
      </w:r>
    </w:p>
    <w:p>
      <w:pPr>
        <w:widowControl/>
        <w:shd w:val="clear" w:color="auto" w:fill="FFFFFF"/>
        <w:spacing w:before="100" w:beforeAutospacing="1" w:after="100" w:afterAutospacing="1"/>
        <w:jc w:val="left"/>
        <w:rPr>
          <w:rFonts w:hint="eastAsia" w:ascii="宋体" w:hAnsi="宋体" w:eastAsia="宋体" w:cs="宋体"/>
          <w:b/>
          <w:bCs/>
          <w:kern w:val="0"/>
          <w:sz w:val="24"/>
          <w:szCs w:val="24"/>
        </w:rPr>
      </w:pPr>
      <w:r>
        <w:rPr>
          <w:rFonts w:hint="eastAsia" w:ascii="宋体" w:hAnsi="宋体" w:eastAsia="宋体" w:cs="宋体"/>
          <w:b/>
          <w:bCs/>
          <w:kern w:val="0"/>
          <w:sz w:val="24"/>
          <w:szCs w:val="24"/>
        </w:rPr>
        <w:t>预算金额：</w:t>
      </w:r>
      <w:r>
        <w:rPr>
          <w:rFonts w:hint="eastAsia" w:ascii="宋体" w:hAnsi="宋体" w:eastAsia="宋体" w:cs="宋体"/>
          <w:b/>
          <w:bCs/>
          <w:kern w:val="0"/>
          <w:sz w:val="24"/>
          <w:szCs w:val="24"/>
          <w:lang w:val="en-US" w:eastAsia="zh-CN"/>
        </w:rPr>
        <w:t>14万</w:t>
      </w:r>
      <w:r>
        <w:rPr>
          <w:rFonts w:hint="eastAsia" w:ascii="宋体" w:hAnsi="宋体" w:eastAsia="宋体" w:cs="宋体"/>
          <w:b/>
          <w:bCs/>
          <w:kern w:val="0"/>
          <w:sz w:val="24"/>
          <w:szCs w:val="24"/>
        </w:rPr>
        <w:t>元/年</w:t>
      </w:r>
    </w:p>
    <w:tbl>
      <w:tblPr>
        <w:tblStyle w:val="14"/>
        <w:tblW w:w="8819"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3"/>
        <w:gridCol w:w="1049"/>
        <w:gridCol w:w="3252"/>
        <w:gridCol w:w="1887"/>
        <w:gridCol w:w="958"/>
        <w:gridCol w:w="12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9"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名称</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参数规格</w:t>
            </w:r>
          </w:p>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（产品构成、尺寸、使用要求）等要求</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适用范围</w:t>
            </w:r>
          </w:p>
        </w:tc>
        <w:tc>
          <w:tcPr>
            <w:tcW w:w="95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单位</w:t>
            </w:r>
          </w:p>
        </w:tc>
        <w:tc>
          <w:tcPr>
            <w:tcW w:w="122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lang w:val="en-US"/>
              </w:rPr>
            </w:pPr>
            <w:r>
              <w:rPr>
                <w:rFonts w:hint="eastAsia" w:ascii="宋体" w:hAnsi="宋体" w:eastAsia="宋体" w:cs="宋体"/>
                <w:b/>
                <w:bCs/>
                <w:i w:val="0"/>
                <w:iCs w:val="0"/>
                <w:color w:val="000000"/>
                <w:kern w:val="0"/>
                <w:sz w:val="21"/>
                <w:szCs w:val="21"/>
                <w:u w:val="none"/>
                <w:lang w:val="en-US" w:eastAsia="zh-CN" w:bidi="ar"/>
              </w:rPr>
              <w:t>单价（元）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3"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藻酸盐印模材通用</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产品构成：一般分为基体材料浆料和固体剂浆料两部分规格型号：454g</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使用要求：调节好温度和湿度</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广泛应用于医学、牙科、工艺品等领域</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桶</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2"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无砷失活剂</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产品构成：有机酸、有机醇、交叉缩醛</w:t>
            </w:r>
          </w:p>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规格型号：1g</w:t>
            </w:r>
          </w:p>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使用要求：不得内服</w:t>
            </w:r>
          </w:p>
          <w:p>
            <w:pPr>
              <w:pStyle w:val="2"/>
              <w:tabs>
                <w:tab w:val="left" w:pos="0"/>
                <w:tab w:val="left" w:pos="993"/>
                <w:tab w:val="left" w:pos="1134"/>
              </w:tabs>
              <w:rPr>
                <w:rFonts w:hint="eastAsia" w:ascii="宋体" w:hAnsi="宋体" w:eastAsia="宋体" w:cs="宋体"/>
                <w:color w:val="auto"/>
                <w:sz w:val="21"/>
                <w:szCs w:val="21"/>
                <w:highlight w:val="none"/>
                <w:lang w:val="en-US"/>
              </w:rPr>
            </w:pP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是一种适用于牙髓失活的药品</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支</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慢失：65</w:t>
            </w:r>
          </w:p>
          <w:p>
            <w:pPr>
              <w:pStyle w:val="2"/>
              <w:tabs>
                <w:tab w:val="left" w:pos="0"/>
                <w:tab w:val="left" w:pos="993"/>
                <w:tab w:val="left" w:pos="1134"/>
              </w:tabs>
              <w:ind w:left="0" w:leftChars="0" w:firstLine="0" w:firstLineChars="0"/>
              <w:rPr>
                <w:rFonts w:hint="eastAsia" w:ascii="宋体" w:hAnsi="宋体" w:eastAsia="宋体" w:cs="宋体"/>
                <w:color w:val="auto"/>
                <w:sz w:val="21"/>
                <w:szCs w:val="21"/>
                <w:highlight w:val="none"/>
                <w:lang w:val="en-US"/>
              </w:rPr>
            </w:pPr>
            <w:r>
              <w:rPr>
                <w:rFonts w:hint="eastAsia" w:ascii="宋体" w:hAnsi="宋体" w:eastAsia="宋体" w:cs="宋体"/>
                <w:i w:val="0"/>
                <w:iCs w:val="0"/>
                <w:color w:val="auto"/>
                <w:kern w:val="0"/>
                <w:sz w:val="21"/>
                <w:szCs w:val="21"/>
                <w:highlight w:val="none"/>
                <w:u w:val="none"/>
                <w:lang w:val="en-US" w:eastAsia="zh-CN" w:bidi="ar"/>
              </w:rPr>
              <w:t>快失：45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1"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金刚砂备牙车针</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产品构成：由不锈钢制成</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规格型号：1板</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使用要求：主意技巧和正确的力度</w:t>
            </w:r>
          </w:p>
        </w:tc>
        <w:tc>
          <w:tcPr>
            <w:tcW w:w="1887" w:type="dxa"/>
            <w:vMerge w:val="restart"/>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是口腔科医生用的耗材类用具</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板</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0"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根管锉K锉</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产品构成：由锉体、手柄和限位块组成</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规格型号：1板</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使用要求：主意技巧和正确的力度</w:t>
            </w:r>
          </w:p>
          <w:p>
            <w:pPr>
              <w:pStyle w:val="2"/>
              <w:tabs>
                <w:tab w:val="left" w:pos="0"/>
                <w:tab w:val="left" w:pos="993"/>
                <w:tab w:val="left" w:pos="1134"/>
              </w:tabs>
              <w:rPr>
                <w:rFonts w:hint="eastAsia" w:ascii="宋体" w:hAnsi="宋体" w:eastAsia="宋体" w:cs="宋体"/>
                <w:sz w:val="21"/>
                <w:szCs w:val="21"/>
              </w:rPr>
            </w:pP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6"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根管锉扩大针</w:t>
            </w:r>
          </w:p>
          <w:p>
            <w:pPr>
              <w:pStyle w:val="2"/>
              <w:tabs>
                <w:tab w:val="left" w:pos="0"/>
                <w:tab w:val="left" w:pos="993"/>
                <w:tab w:val="left" w:pos="1134"/>
              </w:tabs>
              <w:ind w:left="0" w:leftChars="0" w:firstLine="0" w:firstLineChars="0"/>
              <w:jc w:val="center"/>
              <w:rPr>
                <w:rFonts w:hint="eastAsia" w:ascii="宋体" w:hAnsi="宋体" w:eastAsia="宋体" w:cs="宋体"/>
                <w:sz w:val="21"/>
                <w:szCs w:val="21"/>
                <w:highlight w:val="none"/>
                <w:lang w:val="en-US"/>
              </w:rPr>
            </w:pP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产品构成：由手柄、针体组成</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规格型号：1板</w:t>
            </w:r>
          </w:p>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使用要求：主意技巧和正确的力度</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highlight w:val="none"/>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板</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7"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棉花针</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产品构成：由针座、针管、外套管组成</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规格型号：1板</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使用要求：主意技巧和正确的力度</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用于牙面、牙体、牙髓，及其周边组织的探查或治疗。</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板</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6"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牙胶尖</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产品构成：牙胶尖主要是由橡胶所制成，其中还添加了氧化锌，硫酸钡，增韧剂等等成分，形成了专用的牙胶尖。</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规格型号：02、04/06锥度</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使用要求：主意技巧和正确的力度</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适用于牙科牙髓病治疗</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盒</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25#/45元；20#/18元,</w:t>
            </w:r>
          </w:p>
          <w:p>
            <w:pPr>
              <w:pStyle w:val="2"/>
              <w:tabs>
                <w:tab w:val="left" w:pos="0"/>
                <w:tab w:val="left" w:pos="993"/>
                <w:tab w:val="left" w:pos="1134"/>
              </w:tabs>
              <w:ind w:left="0" w:leftChars="0" w:firstLine="0" w:firstLineChars="0"/>
              <w:rPr>
                <w:rFonts w:hint="eastAsia" w:ascii="宋体" w:hAnsi="宋体" w:eastAsia="宋体" w:cs="宋体"/>
                <w:color w:val="auto"/>
                <w:sz w:val="21"/>
                <w:szCs w:val="21"/>
                <w:highlight w:val="none"/>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9"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根管锉H锉</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产品构成：根管锉由锉杆和手柄组成。手柄采用尼龙(PA)注塑制成；锉杆采用镍钛合金或不锈钢制成。</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规格型号：1板</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使用要求：主意技巧和正确的力度</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供牙科临床根管治疗用。</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8"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根管充填抑菌剂（干髓剂）</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产品构成：由粉剂、液体组成</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使用要求：适量</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适用于根管治疗中术后对根管的充填及封闭。急性炎症期不宜使用。</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3"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0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常用</w:t>
            </w:r>
          </w:p>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蜡片</w:t>
            </w:r>
          </w:p>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color w:val="auto"/>
                <w:sz w:val="21"/>
                <w:szCs w:val="21"/>
                <w:highlight w:val="none"/>
                <w:lang w:val="en-US"/>
              </w:rPr>
            </w:pP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产品构成：石蜡</w:t>
            </w:r>
          </w:p>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规格型号：（250g）</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使用要求：均匀受热</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适用于医学方面</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53"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FX-II玻璃离子</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产品构成：粉末主要成分：矽酸铝玻璃粉。液主要成分：聚丙烯酸。</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规格型号：FX-Ⅱ A3</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使用要求：具有与自然牙齿相似的荧光性</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用于直接充填的通用型玻璃离子，特别开发用于MI（微创）、ART(无创）</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4"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自凝造牙粉</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产品构成：I型(热固型)主要由聚甲基丙烯酸甲酯、二氧化钛、钛黄组成。II型(自凝型)主要由聚甲基丙烯酸甲酯(共聚)、二氧化钛、过氧化苯甲酰、钛黄组成</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规格型号：100g</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使用要求：I型(热固型)为义齿制作材料，II型(自凝型)为义齿临时修理材料。</w:t>
            </w:r>
          </w:p>
        </w:tc>
        <w:tc>
          <w:tcPr>
            <w:tcW w:w="1887" w:type="dxa"/>
            <w:vMerge w:val="restart"/>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适用于牙科</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瓶</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61"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自凝牙托粉</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产品构成：本产品由粉剂和液剂组成。粉剂由甲基丙烯酸甲酯类共聚物、过氧化苯甲酰和微量色素组成。液剂由甲基丙烯酸甲酯、N，N-二羟丙基对甲苯胺、2,6-二叔丁基-4-甲基苯酚组成。</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规格型号：100g</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使用要求：用于义齿修复，基托修理，脱落人造牙修理。</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瓶</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7"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自凝牙托水</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产品构成：自凝牙托水通常由粉剂和液剂组成。粉剂主要包含聚合体、填充剂和染色剂等成分，液剂则主要是MMA1。</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规格型号：500g</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使用要求：快速粘合牙齿</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瓶</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76"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吸潮纸尖</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产品构成：牙科吸潮纸尖为标准纸尖，由马宁纸和硅酸钠制成。</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规格型号：0.2、0.4、0.6、各号</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使用要求：在牙髓病根管治疗中，用于吸取根管部污物，再用其把治疗药物送至根管部</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25#，30#/43元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28"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粘接剂</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产品构成：基料、固化剂、助剂、特定应用添加剂</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规格型号：41282  5ml</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使用要求：注意控制温度和湿度</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适用于修复材料粘合</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瓶</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8"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酸蚀剂</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产品构成：磷酸、水、二氧化硅、颜料</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规格型号：5ml  37%</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使用要求：佩戴手套、在通风的环境下</w:t>
            </w:r>
          </w:p>
        </w:tc>
        <w:tc>
          <w:tcPr>
            <w:tcW w:w="1887" w:type="dxa"/>
            <w:vMerge w:val="restart"/>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适用于牙科领域</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支</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2"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一次性涂药棒</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产品构成：由塑料杆和尼龙绒毛组成</w:t>
            </w:r>
          </w:p>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规格型号：小（尺寸）</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使用要求：清洁皮肤，受力均匀</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瓶</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2"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牙科石膏</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产品构成：产品由半水硫酸钙及必要的改性剂组成</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规格型号：1kg</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使用要求：受力均匀</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供制造牙科模型用</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袋</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distribute"/>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普通型1000g/15元超硬型1.5kg/50元</w:t>
            </w:r>
          </w:p>
          <w:p>
            <w:pPr>
              <w:pStyle w:val="2"/>
              <w:tabs>
                <w:tab w:val="left" w:pos="0"/>
                <w:tab w:val="left" w:pos="993"/>
                <w:tab w:val="left" w:pos="1134"/>
              </w:tabs>
              <w:ind w:left="0" w:leftChars="0" w:firstLine="0" w:firstLineChars="0"/>
              <w:rPr>
                <w:rFonts w:hint="eastAsia" w:ascii="宋体" w:hAnsi="宋体" w:eastAsia="宋体" w:cs="宋体"/>
                <w:color w:val="auto"/>
                <w:sz w:val="21"/>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2"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0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聚羧酸锌水门汀</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产品构成：氧化物组成的粉</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规格型号：30g+15ml</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使用要求：有较高的粘结强度和低溶解性，特别适用于金属与牙本质、牙釉质的粘结</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主要用于口矫器材、嵌体、修复冠、固定桥的粘结，窝洞的点、洞衬</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9"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硅橡胶混合头</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产品构成：硅和橡胶</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规格型号：HP03</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使用要求：远离火源</w:t>
            </w:r>
          </w:p>
        </w:tc>
        <w:tc>
          <w:tcPr>
            <w:tcW w:w="1887" w:type="dxa"/>
            <w:vMerge w:val="restart"/>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适用于牙科领域</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正畸托槽</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产品构成：不锈钢</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规格型号：0.022"标准转矩 分体自锁托槽 迷你型 3带钩（超薄mini版）</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使用要求：做好清洁</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5"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氧化磷酸锌粉液</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产品构成：氧化锌、氧化镁、水、正磷酸、水、氧化锌、铝带</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规格型号：单粉30g单液15ml</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使用要求：禁止高温</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1"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FC甲醛甲酚溶液抑菌液</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产品构成：三甲酚10ml，甲醛溶液10ml，无水乙醇5ml </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规格型号：20ml</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使用要求：适量</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瓶</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9"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机用根管锉</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产品构成：不锈钢、镍钛合金</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规格型号：06/各号</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使用要求：适量</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板</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3"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根管测压针</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产品构成：不锈钢</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规格型号：各号</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使用要求：适量</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7"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0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复合碘抑菌液</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产品构成：碘、碘化钾、乙醇</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规格型号：20ml</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使用要求：适量</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瓶</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7"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口腔抑菌液</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产品构成：多种植物提取物、抑菌剂、防腐剂、甜味剂和清凉剂</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规格型号：20ml</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使用要求：适量</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瓶</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红白打样膏</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产品构成：主要包括萜烯树脂、硬脂酸、滑石粉和立德粉等</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规格型号：225g</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使用要求：不可重复使用</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供口腔科作牙科取模用</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8"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缝合针线(非吸收型)</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产品构成：缝合针和缝合线</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规格型号：4.0</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使用要求：不可重复使用</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牙科手术</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9"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沪鸽硅橡胶</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产品构成：人工合成橡胶、填料等组成</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规格型号：B套装</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使用要求：保持温度</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适用于冠、桥、嵌体、高嵌体、套筒冠和附着体</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轻体/120元，重体/150元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6"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手机清洗润滑剂</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产品构成：是一种含有聚四氟乙烯（PTFE）固体润滑颗粒的润滑剂</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规格型号：330ml</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使用要求：适量</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保护手机，减少磨损</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瓶</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27"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咬合纸</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产品构成：咬合纸按照形态分全颚用和片颚用，按照颜色分红色和蓝色，按厚度分0.03mm。咬合纸主要由附有蜡和食用蓝色颜料的纸制成。</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规格型号：115mm*22mm</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使用要求：供临床中牙、咬合面接触点以及义齿修复体、咬合关系的检查用。</w:t>
            </w:r>
          </w:p>
        </w:tc>
        <w:tc>
          <w:tcPr>
            <w:tcW w:w="1887" w:type="dxa"/>
            <w:vMerge w:val="restart"/>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适用于牙科</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7"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ETA根管润滑凝胶</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产品构成：主要由乙二胺四乙酸二钠、聚乙二醇、硬脂酸聚烃氧（40）酯、甘油和纯化水组成</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规格型号：6g</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使用要求：适量</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支</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7"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流体树脂</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产品构成：本品组分:钡铝氟代硼酸硅玻璃(硅钡);2-丙烯酸, 2-甲基- (1-甲基亚乙基) 二 (4,1 -亚苯基氧-2, 1 -丙二醇) 酯;-丙烯酸, 2-甲基-(l 甲基)-亚己基二- [4,1-苯基双(2-羟基-3, 1-丙二醇)] 酯;-丙烯酸,2-甲基-1, 2-亚己基二(羟基-2, 1-丙二醇) 酯;四亚甲基-2,2-二-(4-甲基丙烯酰氧基-2-( 1,12-哌啶酮-2,11 -二氧-3,10 二氮-十二烷) 丙氧基苯基;非晶质二氧化硅;二环 (2,2,1)庚烷-2, 3-二酮 1,7, 7-三甲基;4-二甲氨基苯甲酸乙酯;甲酮 (2-羟基-甲氧苯基)苯基;1,4-苯二羟酸2,5-二羟基二乙基酯;2,5-二羟基二乙基酯;石碳酸,2,6-二 (l,l-二甲基乙基-4-甲基);氧化铁(红,黄,黑)和钛白粉。</w:t>
            </w:r>
          </w:p>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规格型号：7032 A3 2支/袋</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使用要求：作为复合树脂充填材料的衬底材料</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支</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暂时填充材料</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产品构成：本产品由多乙酸乙烯酯，乙醇，硫酸钙，氧化锌组成</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规格型号：15g红色/盒</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使用要求：该产品是牙科暂时性修复用填充材料</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瓶</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75"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正畸橡皮链</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产品构成：一般采用橡胶或聚氨酯类材料制成，包括结扎橡皮圈、分牙橡皮圈、牵引橡皮圈等。可以是链状，线状，管状和圈状。</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规格型号：各型</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使用要求：在口腔正畸治疗时使用，用于结扎、分牙、牵引、扭转等。</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卷</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79"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38</w:t>
            </w:r>
          </w:p>
        </w:tc>
        <w:tc>
          <w:tcPr>
            <w:tcW w:w="104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齿科氧化锌丁香酚水门汀</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产品构成：本产品由粉和液组成，粉的主要成分为氧化锌和水，液的主要成分为丁香油。</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规格型号：10g*2+6ml</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使用要求：用于龋齿窝洞暂时充填。</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3"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39</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口腔泡沫抑菌液</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产品构成：金银花、黄连、冰片等</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规格型号：50ml</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使用要求：清洁口腔</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瓶</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0"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40</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光固化窝沟封闭剂</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产品构成：本品由双酚A双甲基丙烯酸缩水甘油酯(BIS-GMA)、氨基甲酸酯双甲基丙烯酸酯(UDMA)、甲基丙烯酸酯、微隙充填剂(铝硅酸盐)、催化剂(樟脑醌、对-(N-N-二甲氨基)-苯甲酸乙酯(DABE))、稳定剂(2,6-二叔丁基对甲酚(BHT)、2-苯并三氮唑基甲基苯酚(BMP))组成</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规格型号：2.5g 粉色</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使用要求：适量</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4"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104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氢氧化钙根管消毒剂</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产品构成：由氢氧化钙、硫酸钡、蒸馏水、聚乙二醇和注射器组成，为牙科根管治疗过程中根管预备阶段根管消毒时的消毒剂。</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规格型号：5g 6ml</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使用要求：适量</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适用于口腔内根管的消毒</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1"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44</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次氯酸钠</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 xml:space="preserve"> 产品构成：氯化铵，氯化钾和氯化钙</w:t>
            </w:r>
          </w:p>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规格型号：3%</w:t>
            </w:r>
          </w:p>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使用要求：适量</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根管冲洗、杀菌消毒</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瓶</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排龈线</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产品构成：由纯棉锁链状细线构成</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规格型号：136(00#)</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使用要求：适量</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产品用于分离、保护牙龈组织，吸收龈沟液；配合止血剂或分离剂用于牙科修复。</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瓶</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7"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排龈膏</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产品构成：六水合氯化铝、变性酒精、聚氧乙烯聚氧丙烯醚嵌段共聚物、胶状二氧化硅、人造野莓香料6L280(又名树莓)及人工色素(日落黄,分子式:C16H10N2Na2O7S2)及纯水组成</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规格型号：支</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使用要求：适量</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用于印模前排开牙龈用</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支</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1"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一次性口腔器械盒</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产品构成：一次性口腔器械盒内包括：镊子、探针、口镜、围巾、棉卷</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规格型号：BR-2</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使用要求：口腔治疗时使用</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适用于口腔治疗时使用</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1"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管通根管冲洗注射器(侧开孔)</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产品构成：注射器、注射针头、保护套</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规格型号：ORN-30G-22-3-B-M-S 20根/盒</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使用要求：保持清洁</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用于冲洗和清洁</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箱</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2"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根管充填材料</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产品构成：固体类和糊剂类</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规格型号：AH PLUS 糊剂A:3ML/管 糊剂B:3ML/管</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使用要求：操作简便</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适用于口腔治疗时使用</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7"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一次性吸唾管(强吸用)</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产品构成：一次性使用吸唾管长度为125mm或150mm,材质为聚氯乙烯材料,内嵌一根金属丝。</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规格型号：开口各型</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使用要求：用于吸取口内的唾液</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适用于牙科综合治疗台的抽吸装置一起使用。</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包</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2"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一次性吸唾管(慢吸)</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产品构成：一次性使用吸唾管长度为125mm或150mm,材质为聚氯乙烯材料,内嵌一根金属丝。</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规格型号：开口各型</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使用要求：用于吸取口内的唾液</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适用于牙科综合治疗台的抽吸装置一起使用。</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包</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30"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临时冠桥树脂A2</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该产品为双组分糊剂材料,组分A的化学组成有:二脲烷二甲基丙烯酸酯、聚丁烷二醇尿烷二甲基丙烯酸酯、1,6-己二醇二甲基丙烯酸酯、甲基丙烯酸二甲氨基乙酯、樟脑醌、N,N-二羟乙基对甲苯胺、过氧化苯甲酰、钡硼硅酸盐玻璃、二氧化硅、色素柠檬黄、色素诱惑红、色素氧化亚铁和色素二氧化钛;组分B的化学组成有:二脲烷二甲基丙烯酸酯、过氧化苯甲酰、钡硼硅酸盐玻璃和二氧化硅</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规格型号：1480#A2 75克</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使用要求：本产品在临床使用时留在口腔内不超过2周</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该产品适用于永久修复前制作临时用冠桥修复体</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8"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脱敏剂</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产品构成：2-羟乙基甲基丙烯酸酯、戊二醛、纯水。</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使用要求：适量</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供医疗机构用于牙齿脱敏。</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瓶</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9"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正畸钢丝</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产品构成：不锈钢</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规格型号：预成形各型号</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使用要求：根据个人情况</w:t>
            </w:r>
          </w:p>
        </w:tc>
        <w:tc>
          <w:tcPr>
            <w:tcW w:w="1887" w:type="dxa"/>
            <w:vMerge w:val="restart"/>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适用于牙科领域</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袋</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06"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正畸用粘结剂(绿胶)</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产品构成：本品由ORTHO-ONE paste ：熔融石英(SiO2) 66%、氧化铝 5%、双酚A 环氧丙烯酸甲酯(2,2-双对羟苯基丙烷环氧丙烯酸甲酯) 20%、二甲基丙烯酸三甘醇酯 8%、过氧苯甲酰 1%；及ORTHO-ONE primer：甲基丙烯酸四氢呋喃甲酯 40%、双酚A 环氧丙烯酸甲酯(2,2-双对羟苯基丙烷环氧丙烯酸甲酯) 20%、甲基丙烯酸羟基乙酯 15%、聚甲基丙烯酸乙酯 10%、二甲基丙烯酸三甘醇酯 10%、二羟乙基对甲苯胺 5%组成</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规格型号：光固化型</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 用于复合树脂与牙釉质的粘结。</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3"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正畸用推簧</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产品构成：不锈钢</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规格型号：0.012in</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使用要求：根据个人情况</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袋</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217.83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4"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成型片</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产品构成：该产品由金属隔离片或塑料楔组成。金属隔离片由不锈钢制成。塑料楔为聚丙烯ME212U或HF700SA制成</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规格型号：1#2#3#</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使用要求：充填时进行保护和隔离</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用于乳牙窝洞充填时进行保护和隔离</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袋</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6"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纤维桩</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产品构成：主要由石英纤维与环氧树脂基质。</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使用要求：作为辅桩</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用于口腔临床残根、残冠的修复</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2"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嵌体粘接套盒</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产品构成：钢、铝、钛合金、陶瓷</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规格型号：套盒</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使用要求：保持表面干净干燥</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适用于牙科领域</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4"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根管桩用牙钻纤维桩钻</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产品构成：该产品由不锈钢1.4034材料制成,不锈钢由碳、硅、锰、磷、硫、铬和铁余量组成。</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规格型号：盒</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使用要求：保持表面干净干燥</w:t>
            </w:r>
          </w:p>
        </w:tc>
        <w:tc>
          <w:tcPr>
            <w:tcW w:w="1887"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该产品用于GG钻去除根管充填物后,预备纤维桩的根管桩道。</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3"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抛光条</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产品构成：该产品由砂粒、胶粘剂、基材组成。</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使用要求：做好清洁</w:t>
            </w:r>
          </w:p>
        </w:tc>
        <w:tc>
          <w:tcPr>
            <w:tcW w:w="1887" w:type="dxa"/>
            <w:vMerge w:val="restart"/>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适用于牙科领域</w:t>
            </w: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7"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口腔楔子</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产品构成：膨胀材料制成的本体</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规格型号：/</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使用要求：做好清洁</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盒</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3" w:hRule="atLeast"/>
        </w:trPr>
        <w:tc>
          <w:tcPr>
            <w:tcW w:w="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63</w:t>
            </w:r>
          </w:p>
        </w:tc>
        <w:tc>
          <w:tcPr>
            <w:tcW w:w="1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拔髓针</w:t>
            </w:r>
          </w:p>
        </w:tc>
        <w:tc>
          <w:tcPr>
            <w:tcW w:w="3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产品构成：由塑料针柄和不锈钢针体组成</w:t>
            </w:r>
          </w:p>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规格型号：00#</w:t>
            </w:r>
          </w:p>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使用要求：规范操作</w:t>
            </w:r>
          </w:p>
        </w:tc>
        <w:tc>
          <w:tcPr>
            <w:tcW w:w="1887" w:type="dxa"/>
            <w:vMerge w:val="continue"/>
            <w:tcBorders>
              <w:top w:val="single" w:color="000000" w:sz="4" w:space="0"/>
              <w:left w:val="single" w:color="000000" w:sz="4" w:space="0"/>
              <w:bottom w:val="single" w:color="000000" w:sz="4" w:space="0"/>
              <w:right w:val="nil"/>
            </w:tcBorders>
            <w:shd w:val="clear" w:color="auto" w:fill="FFFFFF"/>
            <w:noWrap w:val="0"/>
            <w:vAlign w:val="center"/>
          </w:tcPr>
          <w:p>
            <w:pPr>
              <w:jc w:val="center"/>
              <w:rPr>
                <w:rFonts w:hint="eastAsia" w:ascii="宋体" w:hAnsi="宋体" w:eastAsia="宋体" w:cs="宋体"/>
                <w:i w:val="0"/>
                <w:iCs w:val="0"/>
                <w:color w:val="000000"/>
                <w:sz w:val="21"/>
                <w:szCs w:val="21"/>
                <w:highlight w:val="none"/>
                <w:u w:val="none"/>
              </w:rPr>
            </w:pPr>
          </w:p>
        </w:tc>
        <w:tc>
          <w:tcPr>
            <w:tcW w:w="9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盒</w:t>
            </w:r>
          </w:p>
        </w:tc>
        <w:tc>
          <w:tcPr>
            <w:tcW w:w="12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30</w:t>
            </w:r>
          </w:p>
        </w:tc>
      </w:tr>
    </w:tbl>
    <w:p>
      <w:pPr>
        <w:rPr>
          <w:rFonts w:hint="eastAsia" w:eastAsia="宋体"/>
          <w:lang w:eastAsia="zh-CN"/>
        </w:rPr>
      </w:pPr>
    </w:p>
    <w:p>
      <w:pPr>
        <w:ind w:firstLine="4200" w:firstLineChars="2000"/>
        <w:rPr>
          <w:rFonts w:hint="eastAsia" w:eastAsia="宋体"/>
          <w:lang w:val="en-US" w:eastAsia="zh-CN"/>
        </w:rPr>
      </w:pPr>
    </w:p>
    <w:p>
      <w:pPr>
        <w:ind w:firstLine="4200" w:firstLineChars="2000"/>
        <w:rPr>
          <w:rFonts w:hint="eastAsia" w:eastAsia="宋体"/>
          <w:lang w:val="en-US" w:eastAsia="zh-CN"/>
        </w:rPr>
      </w:pPr>
    </w:p>
    <w:p>
      <w:pPr>
        <w:ind w:firstLine="4200" w:firstLineChars="2000"/>
        <w:rPr>
          <w:rFonts w:hint="eastAsia" w:eastAsia="宋体"/>
          <w:lang w:val="en-US" w:eastAsia="zh-CN"/>
        </w:rPr>
      </w:pPr>
    </w:p>
    <w:p>
      <w:pPr>
        <w:ind w:firstLine="4200" w:firstLineChars="2000"/>
        <w:rPr>
          <w:rFonts w:hint="eastAsia" w:eastAsia="宋体"/>
          <w:lang w:val="en-US" w:eastAsia="zh-CN"/>
        </w:rPr>
      </w:pPr>
    </w:p>
    <w:p>
      <w:pPr>
        <w:ind w:firstLine="4200" w:firstLineChars="2000"/>
        <w:rPr>
          <w:rFonts w:hint="eastAsia" w:eastAsia="宋体"/>
          <w:lang w:val="en-US" w:eastAsia="zh-CN"/>
        </w:rPr>
      </w:pPr>
    </w:p>
    <w:p>
      <w:pPr>
        <w:ind w:firstLine="4200" w:firstLineChars="2000"/>
        <w:rPr>
          <w:rFonts w:hint="eastAsia" w:eastAsia="宋体"/>
          <w:lang w:val="en-US" w:eastAsia="zh-CN"/>
        </w:rPr>
      </w:pPr>
    </w:p>
    <w:p>
      <w:pPr>
        <w:spacing w:line="360" w:lineRule="auto"/>
        <w:rPr>
          <w:rFonts w:hint="eastAsia" w:ascii="宋体" w:hAnsi="宋体" w:eastAsia="宋体" w:cs="Times New Roman"/>
          <w:b/>
          <w:bCs/>
          <w:color w:val="000000"/>
          <w:sz w:val="24"/>
          <w:lang w:val="en-US" w:eastAsia="zh-CN"/>
        </w:rPr>
      </w:pPr>
      <w:r>
        <w:rPr>
          <w:rFonts w:hint="eastAsia" w:ascii="宋体" w:hAnsi="宋体"/>
          <w:b/>
          <w:bCs/>
          <w:color w:val="000000"/>
          <w:sz w:val="24"/>
        </w:rPr>
        <w:br w:type="page"/>
      </w:r>
      <w:r>
        <w:rPr>
          <w:rFonts w:hint="eastAsia" w:ascii="宋体" w:hAnsi="宋体"/>
          <w:b/>
          <w:bCs/>
          <w:color w:val="000000"/>
          <w:sz w:val="24"/>
          <w:lang w:val="en-US" w:eastAsia="zh-CN"/>
        </w:rPr>
        <w:t xml:space="preserve"> </w:t>
      </w:r>
      <w:r>
        <w:rPr>
          <w:rFonts w:hint="eastAsia" w:ascii="宋体" w:hAnsi="宋体" w:eastAsia="宋体" w:cs="Times New Roman"/>
          <w:b/>
          <w:bCs/>
          <w:color w:val="000000"/>
          <w:sz w:val="24"/>
          <w:lang w:val="en-US" w:eastAsia="zh-CN"/>
        </w:rPr>
        <w:t>03包皮肤科耗材</w:t>
      </w:r>
    </w:p>
    <w:p>
      <w:pPr>
        <w:spacing w:line="360" w:lineRule="auto"/>
        <w:rPr>
          <w:rFonts w:hint="eastAsia" w:ascii="宋体" w:hAnsi="宋体"/>
          <w:b/>
          <w:bCs/>
          <w:color w:val="000000"/>
          <w:sz w:val="24"/>
        </w:rPr>
      </w:pPr>
      <w:r>
        <w:rPr>
          <w:rFonts w:hint="eastAsia" w:ascii="宋体" w:hAnsi="宋体"/>
          <w:b/>
          <w:bCs/>
          <w:color w:val="000000"/>
          <w:sz w:val="24"/>
          <w:lang w:val="en-US" w:eastAsia="zh-CN"/>
        </w:rPr>
        <w:t>预算金额：18.6万元/年</w:t>
      </w:r>
    </w:p>
    <w:tbl>
      <w:tblPr>
        <w:tblStyle w:val="15"/>
        <w:tblW w:w="10772" w:type="dxa"/>
        <w:tblInd w:w="-8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1"/>
        <w:gridCol w:w="1497"/>
        <w:gridCol w:w="4253"/>
        <w:gridCol w:w="3471"/>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2" w:type="dxa"/>
            <w:noWrap w:val="0"/>
            <w:vAlign w:val="center"/>
          </w:tcPr>
          <w:p>
            <w:pPr>
              <w:keepNext w:val="0"/>
              <w:keepLines w:val="0"/>
              <w:widowControl/>
              <w:suppressLineNumbers w:val="0"/>
              <w:jc w:val="center"/>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序号</w:t>
            </w:r>
          </w:p>
        </w:tc>
        <w:tc>
          <w:tcPr>
            <w:tcW w:w="1500" w:type="dxa"/>
            <w:noWrap w:val="0"/>
            <w:vAlign w:val="center"/>
          </w:tcPr>
          <w:p>
            <w:pPr>
              <w:keepNext w:val="0"/>
              <w:keepLines w:val="0"/>
              <w:widowControl/>
              <w:suppressLineNumbers w:val="0"/>
              <w:jc w:val="center"/>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产品名称</w:t>
            </w:r>
          </w:p>
        </w:tc>
        <w:tc>
          <w:tcPr>
            <w:tcW w:w="4260" w:type="dxa"/>
            <w:noWrap w:val="0"/>
            <w:vAlign w:val="center"/>
          </w:tcPr>
          <w:p>
            <w:pPr>
              <w:keepNext w:val="0"/>
              <w:keepLines w:val="0"/>
              <w:widowControl/>
              <w:suppressLineNumbers w:val="0"/>
              <w:jc w:val="center"/>
              <w:textAlignment w:val="center"/>
              <w:rPr>
                <w:rFonts w:hint="eastAsia" w:ascii="宋体" w:hAnsi="宋体" w:eastAsia="宋体" w:cs="宋体"/>
                <w:sz w:val="21"/>
                <w:szCs w:val="21"/>
                <w:vertAlign w:val="baseline"/>
              </w:rPr>
            </w:pPr>
            <w:r>
              <w:rPr>
                <w:rStyle w:val="33"/>
                <w:rFonts w:hint="eastAsia" w:ascii="宋体" w:hAnsi="宋体" w:eastAsia="宋体" w:cs="宋体"/>
                <w:sz w:val="21"/>
                <w:szCs w:val="21"/>
                <w:lang w:val="en-US" w:eastAsia="zh-CN" w:bidi="ar"/>
              </w:rPr>
              <w:t>参数规格                                       （产品构成﹑尺寸﹑使用要求﹑生产工艺﹑等要求）</w:t>
            </w:r>
          </w:p>
        </w:tc>
        <w:tc>
          <w:tcPr>
            <w:tcW w:w="3480" w:type="dxa"/>
            <w:noWrap w:val="0"/>
            <w:vAlign w:val="center"/>
          </w:tcPr>
          <w:p>
            <w:pPr>
              <w:keepNext w:val="0"/>
              <w:keepLines w:val="0"/>
              <w:widowControl/>
              <w:suppressLineNumbers w:val="0"/>
              <w:jc w:val="center"/>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适用范围</w:t>
            </w:r>
          </w:p>
        </w:tc>
        <w:tc>
          <w:tcPr>
            <w:tcW w:w="1020" w:type="dxa"/>
            <w:noWrap w:val="0"/>
            <w:vAlign w:val="center"/>
          </w:tcPr>
          <w:p>
            <w:pPr>
              <w:rPr>
                <w:rFonts w:hint="eastAsia"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2" w:type="dxa"/>
            <w:noWrap w:val="0"/>
            <w:vAlign w:val="center"/>
          </w:tcPr>
          <w:p>
            <w:pP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 xml:space="preserve"> 1</w:t>
            </w:r>
          </w:p>
        </w:tc>
        <w:tc>
          <w:tcPr>
            <w:tcW w:w="1500" w:type="dxa"/>
            <w:noWrap w:val="0"/>
            <w:vAlign w:val="center"/>
          </w:tcPr>
          <w:p>
            <w:pPr>
              <w:keepNext w:val="0"/>
              <w:keepLines w:val="0"/>
              <w:widowControl/>
              <w:suppressLineNumbers w:val="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化学换肤术护理包</w:t>
            </w:r>
          </w:p>
        </w:tc>
        <w:tc>
          <w:tcPr>
            <w:tcW w:w="4260" w:type="dxa"/>
            <w:noWrap w:val="0"/>
            <w:vAlign w:val="center"/>
          </w:tcPr>
          <w:p>
            <w:pPr>
              <w:keepNext w:val="0"/>
              <w:keepLines w:val="0"/>
              <w:widowControl/>
              <w:suppressLineNumbers w:val="0"/>
              <w:jc w:val="left"/>
              <w:textAlignment w:val="center"/>
              <w:rPr>
                <w:rFonts w:hint="eastAsia" w:ascii="宋体" w:hAnsi="宋体" w:eastAsia="宋体" w:cs="宋体"/>
                <w:sz w:val="21"/>
                <w:szCs w:val="21"/>
                <w:vertAlign w:val="baseline"/>
              </w:rPr>
            </w:pPr>
            <w:r>
              <w:rPr>
                <w:rStyle w:val="33"/>
                <w:rFonts w:hint="eastAsia" w:ascii="宋体" w:hAnsi="宋体" w:eastAsia="宋体" w:cs="宋体"/>
                <w:sz w:val="21"/>
                <w:szCs w:val="21"/>
                <w:lang w:val="en-US" w:eastAsia="zh-CN" w:bidi="ar"/>
              </w:rPr>
              <w:t>该产品由透明质酸修护贴敷料﹑医用无纺布﹑棉签组成。 透明质酸修护贴敷料（1贴、25g/贴﹑医用无纺布（2片）﹑医用无纺布（2片）﹑棉签（4-6支装）</w:t>
            </w:r>
          </w:p>
        </w:tc>
        <w:tc>
          <w:tcPr>
            <w:tcW w:w="3480" w:type="dxa"/>
            <w:noWrap w:val="0"/>
            <w:vAlign w:val="center"/>
          </w:tcPr>
          <w:p>
            <w:pPr>
              <w:keepNext w:val="0"/>
              <w:keepLines w:val="0"/>
              <w:widowControl/>
              <w:suppressLineNumbers w:val="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用于面部果酸活肤术造成皮肤屏障受损的护理。</w:t>
            </w:r>
          </w:p>
        </w:tc>
        <w:tc>
          <w:tcPr>
            <w:tcW w:w="1020" w:type="dxa"/>
            <w:noWrap w:val="0"/>
            <w:vAlign w:val="center"/>
          </w:tcPr>
          <w:p>
            <w:pPr>
              <w:keepNext w:val="0"/>
              <w:keepLines w:val="0"/>
              <w:widowControl/>
              <w:suppressLineNumbers w:val="0"/>
              <w:jc w:val="right"/>
              <w:textAlignment w:val="center"/>
              <w:rPr>
                <w:rFonts w:hint="eastAsia" w:ascii="宋体" w:hAnsi="宋体" w:eastAsia="宋体" w:cs="宋体"/>
                <w:sz w:val="21"/>
                <w:szCs w:val="21"/>
                <w:vertAlign w:val="baseline"/>
                <w:lang w:val="en-US"/>
              </w:rPr>
            </w:pPr>
            <w:r>
              <w:rPr>
                <w:rFonts w:hint="eastAsia" w:ascii="宋体" w:hAnsi="宋体" w:eastAsia="宋体" w:cs="宋体"/>
                <w:i w:val="0"/>
                <w:iCs w:val="0"/>
                <w:color w:val="000000"/>
                <w:kern w:val="0"/>
                <w:sz w:val="21"/>
                <w:szCs w:val="21"/>
                <w:u w:val="none"/>
                <w:lang w:val="en-US" w:eastAsia="zh-CN" w:bidi="ar"/>
              </w:rPr>
              <w:t>178/个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2" w:type="dxa"/>
            <w:noWrap w:val="0"/>
            <w:vAlign w:val="center"/>
          </w:tcPr>
          <w:p>
            <w:pP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1500" w:type="dxa"/>
            <w:noWrap w:val="0"/>
            <w:vAlign w:val="center"/>
          </w:tcPr>
          <w:p>
            <w:pPr>
              <w:keepNext w:val="0"/>
              <w:keepLines w:val="0"/>
              <w:widowControl/>
              <w:suppressLineNumbers w:val="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透明质酸修护贴敷料</w:t>
            </w:r>
          </w:p>
        </w:tc>
        <w:tc>
          <w:tcPr>
            <w:tcW w:w="4260" w:type="dxa"/>
            <w:noWrap w:val="0"/>
            <w:vAlign w:val="center"/>
          </w:tcPr>
          <w:p>
            <w:pPr>
              <w:keepNext w:val="0"/>
              <w:keepLines w:val="0"/>
              <w:widowControl/>
              <w:suppressLineNumbers w:val="0"/>
              <w:jc w:val="left"/>
              <w:textAlignment w:val="center"/>
              <w:rPr>
                <w:rFonts w:hint="eastAsia" w:ascii="宋体" w:hAnsi="宋体" w:eastAsia="宋体" w:cs="宋体"/>
                <w:sz w:val="21"/>
                <w:szCs w:val="21"/>
                <w:vertAlign w:val="baseline"/>
              </w:rPr>
            </w:pPr>
            <w:r>
              <w:rPr>
                <w:rStyle w:val="33"/>
                <w:rFonts w:hint="eastAsia" w:ascii="宋体" w:hAnsi="宋体" w:eastAsia="宋体" w:cs="宋体"/>
                <w:sz w:val="21"/>
                <w:szCs w:val="21"/>
                <w:lang w:val="en-US" w:eastAsia="zh-CN" w:bidi="ar"/>
              </w:rPr>
              <w:t>主要由多聚糖大分子透明质酸为主要成分，融合卡波姆940﹑苯甲酰钠﹑三乙醇胺﹑去离子水﹑无纺布（100%纯棉）等组成。</w:t>
            </w:r>
          </w:p>
        </w:tc>
        <w:tc>
          <w:tcPr>
            <w:tcW w:w="3480" w:type="dxa"/>
            <w:noWrap w:val="0"/>
            <w:vAlign w:val="center"/>
          </w:tcPr>
          <w:p>
            <w:pPr>
              <w:keepNext w:val="0"/>
              <w:keepLines w:val="0"/>
              <w:widowControl/>
              <w:suppressLineNumbers w:val="0"/>
              <w:jc w:val="left"/>
              <w:textAlignment w:val="center"/>
              <w:rPr>
                <w:rFonts w:hint="eastAsia" w:ascii="宋体" w:hAnsi="宋体" w:eastAsia="宋体" w:cs="宋体"/>
                <w:sz w:val="21"/>
                <w:szCs w:val="21"/>
                <w:vertAlign w:val="baseline"/>
              </w:rPr>
            </w:pPr>
            <w:r>
              <w:rPr>
                <w:rStyle w:val="33"/>
                <w:rFonts w:hint="eastAsia" w:ascii="宋体" w:hAnsi="宋体" w:eastAsia="宋体" w:cs="宋体"/>
                <w:sz w:val="21"/>
                <w:szCs w:val="21"/>
                <w:lang w:val="en-US" w:eastAsia="zh-CN" w:bidi="ar"/>
              </w:rPr>
              <w:t>适用于面部激光﹑光子嫩肤﹑微晶磨削﹑果酸活肤术等微创术后皮肤以及皮炎湿疹﹑敏感性皮肤﹑激素依赖性皮炎等造成屏障受损皮肤的保护与护理。</w:t>
            </w:r>
          </w:p>
        </w:tc>
        <w:tc>
          <w:tcPr>
            <w:tcW w:w="1020" w:type="dxa"/>
            <w:noWrap w:val="0"/>
            <w:vAlign w:val="center"/>
          </w:tcPr>
          <w:p>
            <w:pPr>
              <w:keepNext w:val="0"/>
              <w:keepLines w:val="0"/>
              <w:widowControl/>
              <w:suppressLineNumbers w:val="0"/>
              <w:jc w:val="right"/>
              <w:textAlignment w:val="center"/>
              <w:rPr>
                <w:rFonts w:hint="eastAsia" w:ascii="宋体" w:hAnsi="宋体" w:eastAsia="宋体" w:cs="宋体"/>
                <w:sz w:val="21"/>
                <w:szCs w:val="21"/>
                <w:vertAlign w:val="baseline"/>
                <w:lang w:val="en-US"/>
              </w:rPr>
            </w:pPr>
            <w:r>
              <w:rPr>
                <w:rFonts w:hint="eastAsia" w:ascii="宋体" w:hAnsi="宋体" w:eastAsia="宋体" w:cs="宋体"/>
                <w:i w:val="0"/>
                <w:iCs w:val="0"/>
                <w:color w:val="000000"/>
                <w:kern w:val="0"/>
                <w:sz w:val="21"/>
                <w:szCs w:val="21"/>
                <w:u w:val="none"/>
                <w:lang w:val="en-US" w:eastAsia="zh-CN" w:bidi="ar"/>
              </w:rPr>
              <w:t>138/盒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2" w:type="dxa"/>
            <w:noWrap w:val="0"/>
            <w:vAlign w:val="center"/>
          </w:tcPr>
          <w:p>
            <w:pPr>
              <w:rPr>
                <w:rFonts w:hint="eastAsia"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sz w:val="21"/>
                <w:szCs w:val="21"/>
                <w:vertAlign w:val="baseline"/>
                <w:lang w:val="en-US" w:eastAsia="zh-CN"/>
              </w:rPr>
              <w:t>3</w:t>
            </w:r>
          </w:p>
        </w:tc>
        <w:tc>
          <w:tcPr>
            <w:tcW w:w="1500" w:type="dxa"/>
            <w:noWrap w:val="0"/>
            <w:vAlign w:val="center"/>
          </w:tcPr>
          <w:p>
            <w:pPr>
              <w:keepNext w:val="0"/>
              <w:keepLines w:val="0"/>
              <w:widowControl/>
              <w:suppressLineNumbers w:val="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透明质酸凝胶敷料</w:t>
            </w:r>
          </w:p>
        </w:tc>
        <w:tc>
          <w:tcPr>
            <w:tcW w:w="4260" w:type="dxa"/>
            <w:noWrap w:val="0"/>
            <w:vAlign w:val="center"/>
          </w:tcPr>
          <w:p>
            <w:pPr>
              <w:keepNext w:val="0"/>
              <w:keepLines w:val="0"/>
              <w:widowControl/>
              <w:suppressLineNumbers w:val="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1、规格：（30g/支)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2、组成部分：透明质酸凝胶敷料是以0.8mg/mL~1.2mg/mL透明质酸钠为主要原料配制而成的无色透明凝胶，以聚乙烯塑料管封装而成。产品经蒸汽灭菌，应无菌。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3、性能指标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3.1外观：聚乙烯塑料管表面应光洁，无锋棱、毛刺、变形和明显的擦痕。透明质酸凝胶敷料应呈无色透明啫喱状，无异味。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3.2装量：透明质酸凝胶敷料每个单包装的实际装量不少于标准称装量的95%，平均装量应不少于标称装量。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3.3酸碱度：透明质酸凝胶敷料pH值5.8~7.0。</w:t>
            </w:r>
          </w:p>
        </w:tc>
        <w:tc>
          <w:tcPr>
            <w:tcW w:w="3480" w:type="dxa"/>
            <w:noWrap w:val="0"/>
            <w:vAlign w:val="center"/>
          </w:tcPr>
          <w:p>
            <w:pPr>
              <w:keepNext w:val="0"/>
              <w:keepLines w:val="0"/>
              <w:widowControl/>
              <w:suppressLineNumbers w:val="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 xml:space="preserve"> 适用于皮肤与粘膜的损伤修复的辅助治疗。面部激光微创术后、轻中度炎症痤疮、皮炎湿疹、敏感皮肤及激素依赖性皮炎的辅助治疗。婴幼儿湿疹、结节性痒疹及术后瘢痕修复。擦伤、溃疡、褥疮创面愈合。日常皮肤护理。本品在医生的指导下应用于开放性伤口及烧烫伤。</w:t>
            </w:r>
          </w:p>
        </w:tc>
        <w:tc>
          <w:tcPr>
            <w:tcW w:w="1020" w:type="dxa"/>
            <w:noWrap w:val="0"/>
            <w:vAlign w:val="center"/>
          </w:tcPr>
          <w:p>
            <w:pPr>
              <w:keepNext w:val="0"/>
              <w:keepLines w:val="0"/>
              <w:widowControl/>
              <w:suppressLineNumbers w:val="0"/>
              <w:jc w:val="right"/>
              <w:textAlignment w:val="center"/>
              <w:rPr>
                <w:rFonts w:hint="eastAsia" w:ascii="宋体" w:hAnsi="宋体" w:eastAsia="宋体" w:cs="宋体"/>
                <w:sz w:val="21"/>
                <w:szCs w:val="21"/>
                <w:vertAlign w:val="baseline"/>
                <w:lang w:val="en-US"/>
              </w:rPr>
            </w:pPr>
            <w:r>
              <w:rPr>
                <w:rFonts w:hint="eastAsia" w:ascii="宋体" w:hAnsi="宋体" w:eastAsia="宋体" w:cs="宋体"/>
                <w:i w:val="0"/>
                <w:iCs w:val="0"/>
                <w:color w:val="000000"/>
                <w:kern w:val="0"/>
                <w:sz w:val="21"/>
                <w:szCs w:val="21"/>
                <w:u w:val="none"/>
                <w:lang w:val="en-US" w:eastAsia="zh-CN" w:bidi="ar"/>
              </w:rPr>
              <w:t>108/支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2" w:type="dxa"/>
            <w:noWrap w:val="0"/>
            <w:vAlign w:val="center"/>
          </w:tcPr>
          <w:p>
            <w:pPr>
              <w:rPr>
                <w:rFonts w:hint="default"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sz w:val="21"/>
                <w:szCs w:val="21"/>
                <w:vertAlign w:val="baseline"/>
                <w:lang w:val="en-US" w:eastAsia="zh-CN"/>
              </w:rPr>
              <w:t>4</w:t>
            </w:r>
          </w:p>
        </w:tc>
        <w:tc>
          <w:tcPr>
            <w:tcW w:w="1500" w:type="dxa"/>
            <w:noWrap w:val="0"/>
            <w:vAlign w:val="center"/>
          </w:tcPr>
          <w:p>
            <w:pPr>
              <w:keepNext w:val="0"/>
              <w:keepLines w:val="0"/>
              <w:widowControl/>
              <w:suppressLineNumbers w:val="0"/>
              <w:jc w:val="left"/>
              <w:textAlignment w:val="center"/>
              <w:rPr>
                <w:rFonts w:hint="eastAsia" w:ascii="宋体" w:hAnsi="宋体" w:eastAsia="宋体" w:cs="宋体"/>
                <w:sz w:val="21"/>
                <w:szCs w:val="21"/>
                <w:vertAlign w:val="baseline"/>
              </w:rPr>
            </w:pPr>
            <w:r>
              <w:rPr>
                <w:rStyle w:val="33"/>
                <w:rFonts w:hint="eastAsia" w:ascii="宋体" w:hAnsi="宋体" w:eastAsia="宋体" w:cs="宋体"/>
                <w:sz w:val="21"/>
                <w:szCs w:val="21"/>
                <w:lang w:val="en-US" w:eastAsia="zh-CN" w:bidi="ar"/>
              </w:rPr>
              <w:t>嗨体</w:t>
            </w:r>
            <w:r>
              <w:rPr>
                <w:rStyle w:val="34"/>
                <w:rFonts w:hint="eastAsia" w:ascii="宋体" w:hAnsi="宋体" w:eastAsia="宋体" w:cs="宋体"/>
                <w:sz w:val="21"/>
                <w:szCs w:val="21"/>
                <w:lang w:val="en-US" w:eastAsia="zh-CN" w:bidi="ar"/>
              </w:rPr>
              <w:t>2.5</w:t>
            </w:r>
          </w:p>
        </w:tc>
        <w:tc>
          <w:tcPr>
            <w:tcW w:w="4260" w:type="dxa"/>
            <w:noWrap w:val="0"/>
            <w:vAlign w:val="center"/>
          </w:tcPr>
          <w:p>
            <w:pPr>
              <w:keepNext w:val="0"/>
              <w:keepLines w:val="0"/>
              <w:widowControl/>
              <w:suppressLineNumbers w:val="0"/>
              <w:jc w:val="left"/>
              <w:textAlignment w:val="center"/>
              <w:rPr>
                <w:rFonts w:hint="eastAsia" w:ascii="宋体" w:hAnsi="宋体" w:eastAsia="宋体" w:cs="宋体"/>
                <w:sz w:val="21"/>
                <w:szCs w:val="21"/>
                <w:vertAlign w:val="baseline"/>
                <w:lang w:val="en-US"/>
              </w:rPr>
            </w:pPr>
            <w:r>
              <w:rPr>
                <w:rStyle w:val="34"/>
                <w:rFonts w:hint="eastAsia" w:ascii="宋体" w:hAnsi="宋体" w:eastAsia="宋体" w:cs="宋体"/>
                <w:sz w:val="21"/>
                <w:szCs w:val="21"/>
                <w:lang w:val="en-US" w:eastAsia="zh-CN" w:bidi="ar"/>
              </w:rPr>
              <w:t>1.</w:t>
            </w:r>
            <w:r>
              <w:rPr>
                <w:rStyle w:val="33"/>
                <w:rFonts w:hint="eastAsia" w:ascii="宋体" w:hAnsi="宋体" w:eastAsia="宋体" w:cs="宋体"/>
                <w:sz w:val="21"/>
                <w:szCs w:val="21"/>
                <w:lang w:val="en-US" w:eastAsia="zh-CN" w:bidi="ar"/>
              </w:rPr>
              <w:t>取得</w:t>
            </w:r>
            <w:r>
              <w:rPr>
                <w:rStyle w:val="34"/>
                <w:rFonts w:hint="eastAsia" w:ascii="宋体" w:hAnsi="宋体" w:eastAsia="宋体" w:cs="宋体"/>
                <w:sz w:val="21"/>
                <w:szCs w:val="21"/>
                <w:lang w:val="en-US" w:eastAsia="zh-CN" w:bidi="ar"/>
              </w:rPr>
              <w:t>NMPA</w:t>
            </w:r>
            <w:r>
              <w:rPr>
                <w:rStyle w:val="33"/>
                <w:rFonts w:hint="eastAsia" w:ascii="宋体" w:hAnsi="宋体" w:eastAsia="宋体" w:cs="宋体"/>
                <w:sz w:val="21"/>
                <w:szCs w:val="21"/>
                <w:lang w:val="en-US" w:eastAsia="zh-CN" w:bidi="ar"/>
              </w:rPr>
              <w:t>认证的三类医疗器械注册证</w:t>
            </w:r>
            <w:r>
              <w:rPr>
                <w:rStyle w:val="34"/>
                <w:rFonts w:hint="eastAsia" w:ascii="宋体" w:hAnsi="宋体" w:eastAsia="宋体" w:cs="宋体"/>
                <w:sz w:val="21"/>
                <w:szCs w:val="21"/>
                <w:lang w:val="en-US" w:eastAsia="zh-CN" w:bidi="ar"/>
              </w:rPr>
              <w:t>2.</w:t>
            </w:r>
            <w:r>
              <w:rPr>
                <w:rStyle w:val="33"/>
                <w:rFonts w:hint="eastAsia" w:ascii="宋体" w:hAnsi="宋体" w:eastAsia="宋体" w:cs="宋体"/>
                <w:sz w:val="21"/>
                <w:szCs w:val="21"/>
                <w:lang w:val="en-US" w:eastAsia="zh-CN" w:bidi="ar"/>
              </w:rPr>
              <w:t>用于皮内真皮层注射填充</w:t>
            </w:r>
            <w:r>
              <w:rPr>
                <w:rStyle w:val="34"/>
                <w:rFonts w:hint="eastAsia" w:ascii="宋体" w:hAnsi="宋体" w:eastAsia="宋体" w:cs="宋体"/>
                <w:sz w:val="21"/>
                <w:szCs w:val="21"/>
                <w:lang w:val="en-US" w:eastAsia="zh-CN" w:bidi="ar"/>
              </w:rPr>
              <w:t>3.</w:t>
            </w:r>
            <w:r>
              <w:rPr>
                <w:rStyle w:val="33"/>
                <w:rFonts w:hint="eastAsia" w:ascii="宋体" w:hAnsi="宋体" w:eastAsia="宋体" w:cs="宋体"/>
                <w:sz w:val="21"/>
                <w:szCs w:val="21"/>
                <w:lang w:val="en-US" w:eastAsia="zh-CN" w:bidi="ar"/>
              </w:rPr>
              <w:t>产品成分（注册证注明成分）：双分子天然结构透明质酸钠、三种氨基酸（甘氨酸、丙氨酸、脯氨酸）、</w:t>
            </w:r>
            <w:r>
              <w:rPr>
                <w:rStyle w:val="34"/>
                <w:rFonts w:hint="eastAsia" w:ascii="宋体" w:hAnsi="宋体" w:eastAsia="宋体" w:cs="宋体"/>
                <w:sz w:val="21"/>
                <w:szCs w:val="21"/>
                <w:lang w:val="en-US" w:eastAsia="zh-CN" w:bidi="ar"/>
              </w:rPr>
              <w:t>L-</w:t>
            </w:r>
            <w:r>
              <w:rPr>
                <w:rStyle w:val="33"/>
                <w:rFonts w:hint="eastAsia" w:ascii="宋体" w:hAnsi="宋体" w:eastAsia="宋体" w:cs="宋体"/>
                <w:sz w:val="21"/>
                <w:szCs w:val="21"/>
                <w:lang w:val="en-US" w:eastAsia="zh-CN" w:bidi="ar"/>
              </w:rPr>
              <w:t>肌肽</w:t>
            </w:r>
            <w:r>
              <w:rPr>
                <w:rStyle w:val="34"/>
                <w:rFonts w:hint="eastAsia" w:ascii="宋体" w:hAnsi="宋体" w:eastAsia="宋体" w:cs="宋体"/>
                <w:sz w:val="21"/>
                <w:szCs w:val="21"/>
                <w:lang w:val="en-US" w:eastAsia="zh-CN" w:bidi="ar"/>
              </w:rPr>
              <w:t xml:space="preserve"> 4.</w:t>
            </w:r>
            <w:r>
              <w:rPr>
                <w:rStyle w:val="33"/>
                <w:rFonts w:hint="eastAsia" w:ascii="宋体" w:hAnsi="宋体" w:eastAsia="宋体" w:cs="宋体"/>
                <w:sz w:val="21"/>
                <w:szCs w:val="21"/>
                <w:lang w:val="en-US" w:eastAsia="zh-CN" w:bidi="ar"/>
              </w:rPr>
              <w:t>产品需配备一次性使用无菌注射针</w:t>
            </w:r>
            <w:r>
              <w:rPr>
                <w:rStyle w:val="34"/>
                <w:rFonts w:hint="eastAsia" w:ascii="宋体" w:hAnsi="宋体" w:eastAsia="宋体" w:cs="宋体"/>
                <w:sz w:val="21"/>
                <w:szCs w:val="21"/>
                <w:lang w:val="en-US" w:eastAsia="zh-CN" w:bidi="ar"/>
              </w:rPr>
              <w:t>5.</w:t>
            </w:r>
            <w:r>
              <w:rPr>
                <w:rStyle w:val="33"/>
                <w:rFonts w:hint="eastAsia" w:ascii="宋体" w:hAnsi="宋体" w:eastAsia="宋体" w:cs="宋体"/>
                <w:sz w:val="21"/>
                <w:szCs w:val="21"/>
                <w:lang w:val="en-US" w:eastAsia="zh-CN" w:bidi="ar"/>
              </w:rPr>
              <w:t>规格</w:t>
            </w:r>
            <w:r>
              <w:rPr>
                <w:rStyle w:val="34"/>
                <w:rFonts w:hint="eastAsia" w:ascii="宋体" w:hAnsi="宋体" w:eastAsia="宋体" w:cs="宋体"/>
                <w:sz w:val="21"/>
                <w:szCs w:val="21"/>
                <w:lang w:val="en-US" w:eastAsia="zh-CN" w:bidi="ar"/>
              </w:rPr>
              <w:t>2.5ml/</w:t>
            </w:r>
            <w:r>
              <w:rPr>
                <w:rStyle w:val="33"/>
                <w:rFonts w:hint="eastAsia" w:ascii="宋体" w:hAnsi="宋体" w:eastAsia="宋体" w:cs="宋体"/>
                <w:sz w:val="21"/>
                <w:szCs w:val="21"/>
                <w:lang w:val="en-US" w:eastAsia="zh-CN" w:bidi="ar"/>
              </w:rPr>
              <w:t>支</w:t>
            </w:r>
            <w:r>
              <w:rPr>
                <w:rStyle w:val="34"/>
                <w:rFonts w:hint="eastAsia" w:ascii="宋体" w:hAnsi="宋体" w:eastAsia="宋体" w:cs="宋体"/>
                <w:sz w:val="21"/>
                <w:szCs w:val="21"/>
                <w:lang w:val="en-US" w:eastAsia="zh-CN" w:bidi="ar"/>
              </w:rPr>
              <w:t>6.</w:t>
            </w:r>
            <w:r>
              <w:rPr>
                <w:rStyle w:val="33"/>
                <w:rFonts w:hint="eastAsia" w:ascii="宋体" w:hAnsi="宋体" w:eastAsia="宋体" w:cs="宋体"/>
                <w:sz w:val="21"/>
                <w:szCs w:val="21"/>
                <w:lang w:val="en-US" w:eastAsia="zh-CN" w:bidi="ar"/>
              </w:rPr>
              <w:t>国产品牌7.配备专用针头</w:t>
            </w:r>
          </w:p>
        </w:tc>
        <w:tc>
          <w:tcPr>
            <w:tcW w:w="3480" w:type="dxa"/>
            <w:noWrap w:val="0"/>
            <w:vAlign w:val="center"/>
          </w:tcPr>
          <w:p>
            <w:pPr>
              <w:keepNext w:val="0"/>
              <w:keepLines w:val="0"/>
              <w:widowControl/>
              <w:suppressLineNumbers w:val="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皮肤干燥、皮肤缺乏弹性、油水失去平衡、有抗糖、抗氧需求细纹皱纹、色斑、肤色不匀、皮肤屏障受损、缩小毛孔、提亮肤色细腻肤质、淡化细纹、皮肤晦暗没有光泽等人群</w:t>
            </w:r>
          </w:p>
        </w:tc>
        <w:tc>
          <w:tcPr>
            <w:tcW w:w="1020" w:type="dxa"/>
            <w:noWrap w:val="0"/>
            <w:vAlign w:val="center"/>
          </w:tcPr>
          <w:p>
            <w:pPr>
              <w:keepNext w:val="0"/>
              <w:keepLines w:val="0"/>
              <w:widowControl/>
              <w:suppressLineNumbers w:val="0"/>
              <w:jc w:val="both"/>
              <w:textAlignment w:val="center"/>
              <w:rPr>
                <w:rFonts w:hint="eastAsia" w:ascii="宋体" w:hAnsi="宋体" w:eastAsia="宋体" w:cs="宋体"/>
                <w:sz w:val="21"/>
                <w:szCs w:val="21"/>
                <w:vertAlign w:val="baseline"/>
                <w:lang w:val="en-US"/>
              </w:rPr>
            </w:pPr>
            <w:r>
              <w:rPr>
                <w:rFonts w:hint="eastAsia" w:ascii="宋体" w:hAnsi="宋体" w:eastAsia="宋体" w:cs="宋体"/>
                <w:i w:val="0"/>
                <w:iCs w:val="0"/>
                <w:color w:val="000000"/>
                <w:kern w:val="0"/>
                <w:sz w:val="21"/>
                <w:szCs w:val="21"/>
                <w:u w:val="none"/>
                <w:lang w:val="en-US" w:eastAsia="zh-CN" w:bidi="ar"/>
              </w:rPr>
              <w:t>1280/支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2" w:type="dxa"/>
            <w:noWrap w:val="0"/>
            <w:vAlign w:val="center"/>
          </w:tcPr>
          <w:p>
            <w:pP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w:t>
            </w:r>
          </w:p>
        </w:tc>
        <w:tc>
          <w:tcPr>
            <w:tcW w:w="1500" w:type="dxa"/>
            <w:noWrap w:val="0"/>
            <w:vAlign w:val="center"/>
          </w:tcPr>
          <w:p>
            <w:pPr>
              <w:keepNext w:val="0"/>
              <w:keepLines w:val="0"/>
              <w:widowControl/>
              <w:suppressLineNumbers w:val="0"/>
              <w:ind w:firstLine="210" w:firstLineChars="100"/>
              <w:jc w:val="left"/>
              <w:textAlignment w:val="center"/>
              <w:rPr>
                <w:rFonts w:hint="eastAsia" w:ascii="宋体" w:hAnsi="宋体" w:eastAsia="宋体" w:cs="宋体"/>
                <w:sz w:val="21"/>
                <w:szCs w:val="21"/>
                <w:vertAlign w:val="baseline"/>
              </w:rPr>
            </w:pPr>
            <w:r>
              <w:rPr>
                <w:rStyle w:val="33"/>
                <w:rFonts w:hint="eastAsia" w:ascii="宋体" w:hAnsi="宋体" w:eastAsia="宋体" w:cs="宋体"/>
                <w:sz w:val="21"/>
                <w:szCs w:val="21"/>
                <w:lang w:val="en-US" w:eastAsia="zh-CN" w:bidi="ar"/>
              </w:rPr>
              <w:t>嗨体</w:t>
            </w:r>
            <w:r>
              <w:rPr>
                <w:rStyle w:val="34"/>
                <w:rFonts w:hint="eastAsia" w:ascii="宋体" w:hAnsi="宋体" w:eastAsia="宋体" w:cs="宋体"/>
                <w:sz w:val="21"/>
                <w:szCs w:val="21"/>
                <w:lang w:val="en-US" w:eastAsia="zh-CN" w:bidi="ar"/>
              </w:rPr>
              <w:t>1.5</w:t>
            </w:r>
          </w:p>
        </w:tc>
        <w:tc>
          <w:tcPr>
            <w:tcW w:w="4260" w:type="dxa"/>
            <w:noWrap w:val="0"/>
            <w:vAlign w:val="center"/>
          </w:tcPr>
          <w:p>
            <w:pPr>
              <w:keepNext w:val="0"/>
              <w:keepLines w:val="0"/>
              <w:widowControl/>
              <w:suppressLineNumbers w:val="0"/>
              <w:jc w:val="left"/>
              <w:textAlignment w:val="center"/>
              <w:rPr>
                <w:rFonts w:hint="eastAsia" w:ascii="宋体" w:hAnsi="宋体" w:eastAsia="宋体" w:cs="宋体"/>
                <w:sz w:val="21"/>
                <w:szCs w:val="21"/>
                <w:vertAlign w:val="baseline"/>
                <w:lang w:val="en-US"/>
              </w:rPr>
            </w:pPr>
            <w:r>
              <w:rPr>
                <w:rStyle w:val="34"/>
                <w:rFonts w:hint="eastAsia" w:ascii="宋体" w:hAnsi="宋体" w:eastAsia="宋体" w:cs="宋体"/>
                <w:sz w:val="21"/>
                <w:szCs w:val="21"/>
                <w:lang w:val="en-US" w:eastAsia="zh-CN" w:bidi="ar"/>
              </w:rPr>
              <w:t>1.</w:t>
            </w:r>
            <w:r>
              <w:rPr>
                <w:rStyle w:val="33"/>
                <w:rFonts w:hint="eastAsia" w:ascii="宋体" w:hAnsi="宋体" w:eastAsia="宋体" w:cs="宋体"/>
                <w:sz w:val="21"/>
                <w:szCs w:val="21"/>
                <w:lang w:val="en-US" w:eastAsia="zh-CN" w:bidi="ar"/>
              </w:rPr>
              <w:t>取得</w:t>
            </w:r>
            <w:r>
              <w:rPr>
                <w:rStyle w:val="34"/>
                <w:rFonts w:hint="eastAsia" w:ascii="宋体" w:hAnsi="宋体" w:eastAsia="宋体" w:cs="宋体"/>
                <w:sz w:val="21"/>
                <w:szCs w:val="21"/>
                <w:lang w:val="en-US" w:eastAsia="zh-CN" w:bidi="ar"/>
              </w:rPr>
              <w:t>NMPA</w:t>
            </w:r>
            <w:r>
              <w:rPr>
                <w:rStyle w:val="33"/>
                <w:rFonts w:hint="eastAsia" w:ascii="宋体" w:hAnsi="宋体" w:eastAsia="宋体" w:cs="宋体"/>
                <w:sz w:val="21"/>
                <w:szCs w:val="21"/>
                <w:lang w:val="en-US" w:eastAsia="zh-CN" w:bidi="ar"/>
              </w:rPr>
              <w:t>认证的三类医疗器械注册证</w:t>
            </w:r>
            <w:r>
              <w:rPr>
                <w:rStyle w:val="34"/>
                <w:rFonts w:hint="eastAsia" w:ascii="宋体" w:hAnsi="宋体" w:eastAsia="宋体" w:cs="宋体"/>
                <w:sz w:val="21"/>
                <w:szCs w:val="21"/>
                <w:lang w:val="en-US" w:eastAsia="zh-CN" w:bidi="ar"/>
              </w:rPr>
              <w:t>2.</w:t>
            </w:r>
            <w:r>
              <w:rPr>
                <w:rStyle w:val="33"/>
                <w:rFonts w:hint="eastAsia" w:ascii="宋体" w:hAnsi="宋体" w:eastAsia="宋体" w:cs="宋体"/>
                <w:sz w:val="21"/>
                <w:szCs w:val="21"/>
                <w:lang w:val="en-US" w:eastAsia="zh-CN" w:bidi="ar"/>
              </w:rPr>
              <w:t>用于皮内真皮层注射填充以纠正颈部中重度皱纹</w:t>
            </w:r>
            <w:r>
              <w:rPr>
                <w:rStyle w:val="34"/>
                <w:rFonts w:hint="eastAsia" w:ascii="宋体" w:hAnsi="宋体" w:eastAsia="宋体" w:cs="宋体"/>
                <w:sz w:val="21"/>
                <w:szCs w:val="21"/>
                <w:lang w:val="en-US" w:eastAsia="zh-CN" w:bidi="ar"/>
              </w:rPr>
              <w:t>3.</w:t>
            </w:r>
            <w:r>
              <w:rPr>
                <w:rStyle w:val="33"/>
                <w:rFonts w:hint="eastAsia" w:ascii="宋体" w:hAnsi="宋体" w:eastAsia="宋体" w:cs="宋体"/>
                <w:sz w:val="21"/>
                <w:szCs w:val="21"/>
                <w:lang w:val="en-US" w:eastAsia="zh-CN" w:bidi="ar"/>
              </w:rPr>
              <w:t>种氨基酸（脯氨酸、甘氨酸、丙氨酸），</w:t>
            </w:r>
            <w:r>
              <w:rPr>
                <w:rStyle w:val="34"/>
                <w:rFonts w:hint="eastAsia" w:ascii="宋体" w:hAnsi="宋体" w:eastAsia="宋体" w:cs="宋体"/>
                <w:sz w:val="21"/>
                <w:szCs w:val="21"/>
                <w:lang w:val="en-US" w:eastAsia="zh-CN" w:bidi="ar"/>
              </w:rPr>
              <w:t>1</w:t>
            </w:r>
            <w:r>
              <w:rPr>
                <w:rStyle w:val="33"/>
                <w:rFonts w:hint="eastAsia" w:ascii="宋体" w:hAnsi="宋体" w:eastAsia="宋体" w:cs="宋体"/>
                <w:sz w:val="21"/>
                <w:szCs w:val="21"/>
                <w:lang w:val="en-US" w:eastAsia="zh-CN" w:bidi="ar"/>
              </w:rPr>
              <w:t>种肌肤（</w:t>
            </w:r>
            <w:r>
              <w:rPr>
                <w:rStyle w:val="34"/>
                <w:rFonts w:hint="eastAsia" w:ascii="宋体" w:hAnsi="宋体" w:eastAsia="宋体" w:cs="宋体"/>
                <w:sz w:val="21"/>
                <w:szCs w:val="21"/>
                <w:lang w:val="en-US" w:eastAsia="zh-CN" w:bidi="ar"/>
              </w:rPr>
              <w:t>L-</w:t>
            </w:r>
            <w:r>
              <w:rPr>
                <w:rStyle w:val="33"/>
                <w:rFonts w:hint="eastAsia" w:ascii="宋体" w:hAnsi="宋体" w:eastAsia="宋体" w:cs="宋体"/>
                <w:sz w:val="21"/>
                <w:szCs w:val="21"/>
                <w:lang w:val="en-US" w:eastAsia="zh-CN" w:bidi="ar"/>
              </w:rPr>
              <w:t>肌肤）</w:t>
            </w:r>
            <w:r>
              <w:rPr>
                <w:rStyle w:val="34"/>
                <w:rFonts w:hint="eastAsia" w:ascii="宋体" w:hAnsi="宋体" w:eastAsia="宋体" w:cs="宋体"/>
                <w:sz w:val="21"/>
                <w:szCs w:val="21"/>
                <w:lang w:val="en-US" w:eastAsia="zh-CN" w:bidi="ar"/>
              </w:rPr>
              <w:t>1</w:t>
            </w:r>
            <w:r>
              <w:rPr>
                <w:rStyle w:val="33"/>
                <w:rFonts w:hint="eastAsia" w:ascii="宋体" w:hAnsi="宋体" w:eastAsia="宋体" w:cs="宋体"/>
                <w:sz w:val="21"/>
                <w:szCs w:val="21"/>
                <w:lang w:val="en-US" w:eastAsia="zh-CN" w:bidi="ar"/>
              </w:rPr>
              <w:t>种辅酶（维他命</w:t>
            </w:r>
            <w:r>
              <w:rPr>
                <w:rStyle w:val="34"/>
                <w:rFonts w:hint="eastAsia" w:ascii="宋体" w:hAnsi="宋体" w:eastAsia="宋体" w:cs="宋体"/>
                <w:sz w:val="21"/>
                <w:szCs w:val="21"/>
                <w:lang w:val="en-US" w:eastAsia="zh-CN" w:bidi="ar"/>
              </w:rPr>
              <w:t>B</w:t>
            </w:r>
            <w:r>
              <w:rPr>
                <w:rStyle w:val="33"/>
                <w:rFonts w:hint="eastAsia" w:ascii="宋体" w:hAnsi="宋体" w:eastAsia="宋体" w:cs="宋体"/>
                <w:sz w:val="21"/>
                <w:szCs w:val="21"/>
                <w:lang w:val="en-US" w:eastAsia="zh-CN" w:bidi="ar"/>
              </w:rPr>
              <w:t>）</w:t>
            </w:r>
            <w:r>
              <w:rPr>
                <w:rStyle w:val="34"/>
                <w:rFonts w:hint="eastAsia" w:ascii="宋体" w:hAnsi="宋体" w:eastAsia="宋体" w:cs="宋体"/>
                <w:sz w:val="21"/>
                <w:szCs w:val="21"/>
                <w:lang w:val="en-US" w:eastAsia="zh-CN" w:bidi="ar"/>
              </w:rPr>
              <w:t>0</w:t>
            </w:r>
            <w:r>
              <w:rPr>
                <w:rStyle w:val="33"/>
                <w:rFonts w:hint="eastAsia" w:ascii="宋体" w:hAnsi="宋体" w:eastAsia="宋体" w:cs="宋体"/>
                <w:sz w:val="21"/>
                <w:szCs w:val="21"/>
                <w:lang w:val="en-US" w:eastAsia="zh-CN" w:bidi="ar"/>
              </w:rPr>
              <w:t>交联剂玻尿酸</w:t>
            </w:r>
            <w:r>
              <w:rPr>
                <w:rStyle w:val="34"/>
                <w:rFonts w:hint="eastAsia" w:ascii="宋体" w:hAnsi="宋体" w:eastAsia="宋体" w:cs="宋体"/>
                <w:sz w:val="21"/>
                <w:szCs w:val="21"/>
                <w:lang w:val="en-US" w:eastAsia="zh-CN" w:bidi="ar"/>
              </w:rPr>
              <w:t>4.</w:t>
            </w:r>
            <w:r>
              <w:rPr>
                <w:rStyle w:val="33"/>
                <w:rFonts w:hint="eastAsia" w:ascii="宋体" w:hAnsi="宋体" w:eastAsia="宋体" w:cs="宋体"/>
                <w:sz w:val="21"/>
                <w:szCs w:val="21"/>
                <w:lang w:val="en-US" w:eastAsia="zh-CN" w:bidi="ar"/>
              </w:rPr>
              <w:t>产品需配备</w:t>
            </w:r>
            <w:r>
              <w:rPr>
                <w:rStyle w:val="34"/>
                <w:rFonts w:hint="eastAsia" w:ascii="宋体" w:hAnsi="宋体" w:eastAsia="宋体" w:cs="宋体"/>
                <w:sz w:val="21"/>
                <w:szCs w:val="21"/>
                <w:lang w:val="en-US" w:eastAsia="zh-CN" w:bidi="ar"/>
              </w:rPr>
              <w:t>30G</w:t>
            </w:r>
            <w:r>
              <w:rPr>
                <w:rStyle w:val="33"/>
                <w:rFonts w:hint="eastAsia" w:ascii="宋体" w:hAnsi="宋体" w:eastAsia="宋体" w:cs="宋体"/>
                <w:sz w:val="21"/>
                <w:szCs w:val="21"/>
                <w:lang w:val="en-US" w:eastAsia="zh-CN" w:bidi="ar"/>
              </w:rPr>
              <w:t>不锈钢注射针</w:t>
            </w:r>
            <w:r>
              <w:rPr>
                <w:rStyle w:val="34"/>
                <w:rFonts w:hint="eastAsia" w:ascii="宋体" w:hAnsi="宋体" w:eastAsia="宋体" w:cs="宋体"/>
                <w:sz w:val="21"/>
                <w:szCs w:val="21"/>
                <w:lang w:val="en-US" w:eastAsia="zh-CN" w:bidi="ar"/>
              </w:rPr>
              <w:t>5.</w:t>
            </w:r>
            <w:r>
              <w:rPr>
                <w:rStyle w:val="33"/>
                <w:rFonts w:hint="eastAsia" w:ascii="宋体" w:hAnsi="宋体" w:eastAsia="宋体" w:cs="宋体"/>
                <w:sz w:val="21"/>
                <w:szCs w:val="21"/>
                <w:lang w:val="en-US" w:eastAsia="zh-CN" w:bidi="ar"/>
              </w:rPr>
              <w:t>规格</w:t>
            </w:r>
            <w:r>
              <w:rPr>
                <w:rStyle w:val="34"/>
                <w:rFonts w:hint="eastAsia" w:ascii="宋体" w:hAnsi="宋体" w:eastAsia="宋体" w:cs="宋体"/>
                <w:sz w:val="21"/>
                <w:szCs w:val="21"/>
                <w:lang w:val="en-US" w:eastAsia="zh-CN" w:bidi="ar"/>
              </w:rPr>
              <w:t>1.5ml/</w:t>
            </w:r>
            <w:r>
              <w:rPr>
                <w:rStyle w:val="33"/>
                <w:rFonts w:hint="eastAsia" w:ascii="宋体" w:hAnsi="宋体" w:eastAsia="宋体" w:cs="宋体"/>
                <w:sz w:val="21"/>
                <w:szCs w:val="21"/>
                <w:lang w:val="en-US" w:eastAsia="zh-CN" w:bidi="ar"/>
              </w:rPr>
              <w:t>支</w:t>
            </w:r>
            <w:r>
              <w:rPr>
                <w:rStyle w:val="34"/>
                <w:rFonts w:hint="eastAsia" w:ascii="宋体" w:hAnsi="宋体" w:eastAsia="宋体" w:cs="宋体"/>
                <w:sz w:val="21"/>
                <w:szCs w:val="21"/>
                <w:lang w:val="en-US" w:eastAsia="zh-CN" w:bidi="ar"/>
              </w:rPr>
              <w:t>6.</w:t>
            </w:r>
            <w:r>
              <w:rPr>
                <w:rStyle w:val="33"/>
                <w:rFonts w:hint="eastAsia" w:ascii="宋体" w:hAnsi="宋体" w:eastAsia="宋体" w:cs="宋体"/>
                <w:sz w:val="21"/>
                <w:szCs w:val="21"/>
                <w:lang w:val="en-US" w:eastAsia="zh-CN" w:bidi="ar"/>
              </w:rPr>
              <w:t>国产品牌7.配备专用针头</w:t>
            </w:r>
          </w:p>
        </w:tc>
        <w:tc>
          <w:tcPr>
            <w:tcW w:w="3480" w:type="dxa"/>
            <w:noWrap w:val="0"/>
            <w:vAlign w:val="center"/>
          </w:tcPr>
          <w:p>
            <w:pPr>
              <w:keepNext w:val="0"/>
              <w:keepLines w:val="0"/>
              <w:widowControl/>
              <w:suppressLineNumbers w:val="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抚平颈纹、提拉紧致、増强弾性、针对颈部填充，平复填充细纹，为胶原纤维形成提供时间</w:t>
            </w:r>
          </w:p>
        </w:tc>
        <w:tc>
          <w:tcPr>
            <w:tcW w:w="1020" w:type="dxa"/>
            <w:noWrap w:val="0"/>
            <w:vAlign w:val="center"/>
          </w:tcPr>
          <w:p>
            <w:pPr>
              <w:keepNext w:val="0"/>
              <w:keepLines w:val="0"/>
              <w:widowControl/>
              <w:suppressLineNumbers w:val="0"/>
              <w:jc w:val="right"/>
              <w:textAlignment w:val="center"/>
              <w:rPr>
                <w:rFonts w:hint="eastAsia" w:ascii="宋体" w:hAnsi="宋体" w:eastAsia="宋体" w:cs="宋体"/>
                <w:sz w:val="21"/>
                <w:szCs w:val="21"/>
                <w:vertAlign w:val="baseline"/>
                <w:lang w:val="en-US"/>
              </w:rPr>
            </w:pPr>
            <w:r>
              <w:rPr>
                <w:rFonts w:hint="eastAsia" w:ascii="宋体" w:hAnsi="宋体" w:eastAsia="宋体" w:cs="宋体"/>
                <w:i w:val="0"/>
                <w:iCs w:val="0"/>
                <w:color w:val="000000"/>
                <w:kern w:val="0"/>
                <w:sz w:val="21"/>
                <w:szCs w:val="21"/>
                <w:u w:val="none"/>
                <w:lang w:val="en-US" w:eastAsia="zh-CN" w:bidi="ar"/>
              </w:rPr>
              <w:t>1580/支</w:t>
            </w:r>
          </w:p>
        </w:tc>
      </w:tr>
    </w:tbl>
    <w:p>
      <w:pPr>
        <w:numPr>
          <w:ilvl w:val="0"/>
          <w:numId w:val="0"/>
        </w:numPr>
        <w:adjustRightInd w:val="0"/>
        <w:snapToGrid w:val="0"/>
        <w:spacing w:line="440" w:lineRule="exact"/>
        <w:jc w:val="both"/>
        <w:rPr>
          <w:rFonts w:hint="eastAsia" w:ascii="宋体" w:hAnsi="宋体"/>
          <w:b/>
          <w:bCs/>
          <w:color w:val="000000"/>
          <w:sz w:val="24"/>
          <w:lang w:val="en-US" w:eastAsia="zh-CN"/>
        </w:rPr>
      </w:pPr>
    </w:p>
    <w:p>
      <w:pPr>
        <w:numPr>
          <w:ilvl w:val="0"/>
          <w:numId w:val="0"/>
        </w:numPr>
        <w:adjustRightInd w:val="0"/>
        <w:snapToGrid w:val="0"/>
        <w:spacing w:line="440" w:lineRule="exact"/>
        <w:jc w:val="both"/>
        <w:rPr>
          <w:rFonts w:hint="eastAsia" w:ascii="宋体" w:hAnsi="宋体"/>
          <w:b/>
          <w:bCs/>
          <w:color w:val="000000"/>
          <w:sz w:val="24"/>
          <w:lang w:val="en-US" w:eastAsia="zh-CN"/>
        </w:rPr>
      </w:pPr>
    </w:p>
    <w:p>
      <w:pPr>
        <w:numPr>
          <w:ilvl w:val="0"/>
          <w:numId w:val="0"/>
        </w:numPr>
        <w:adjustRightInd w:val="0"/>
        <w:snapToGrid w:val="0"/>
        <w:spacing w:line="440" w:lineRule="exact"/>
        <w:jc w:val="both"/>
        <w:rPr>
          <w:rFonts w:hint="eastAsia" w:ascii="宋体" w:hAnsi="宋体"/>
          <w:b/>
          <w:bCs/>
          <w:color w:val="000000"/>
          <w:sz w:val="24"/>
          <w:lang w:val="en-US" w:eastAsia="zh-CN"/>
        </w:rPr>
      </w:pPr>
    </w:p>
    <w:p>
      <w:pPr>
        <w:numPr>
          <w:ilvl w:val="0"/>
          <w:numId w:val="0"/>
        </w:numPr>
        <w:adjustRightInd w:val="0"/>
        <w:snapToGrid w:val="0"/>
        <w:spacing w:line="440" w:lineRule="exact"/>
        <w:jc w:val="both"/>
        <w:rPr>
          <w:rFonts w:hint="eastAsia" w:ascii="宋体" w:hAnsi="宋体"/>
          <w:b/>
          <w:bCs/>
          <w:color w:val="000000"/>
          <w:sz w:val="24"/>
          <w:lang w:val="en-US" w:eastAsia="zh-CN"/>
        </w:rPr>
      </w:pPr>
    </w:p>
    <w:p>
      <w:pPr>
        <w:numPr>
          <w:ilvl w:val="0"/>
          <w:numId w:val="0"/>
        </w:numPr>
        <w:adjustRightInd w:val="0"/>
        <w:snapToGrid w:val="0"/>
        <w:spacing w:line="440" w:lineRule="exact"/>
        <w:jc w:val="both"/>
        <w:rPr>
          <w:rFonts w:hint="eastAsia" w:ascii="宋体" w:hAnsi="宋体"/>
          <w:b/>
          <w:bCs/>
          <w:color w:val="000000"/>
          <w:sz w:val="24"/>
          <w:lang w:val="en-US" w:eastAsia="zh-CN"/>
        </w:rPr>
      </w:pPr>
      <w:r>
        <w:rPr>
          <w:rFonts w:hint="eastAsia" w:ascii="宋体" w:hAnsi="宋体"/>
          <w:b/>
          <w:bCs/>
          <w:color w:val="000000"/>
          <w:sz w:val="24"/>
          <w:lang w:val="en-US" w:eastAsia="zh-CN"/>
        </w:rPr>
        <w:t>04包五官科耗材</w:t>
      </w:r>
    </w:p>
    <w:p>
      <w:pPr>
        <w:numPr>
          <w:ilvl w:val="0"/>
          <w:numId w:val="0"/>
        </w:numPr>
        <w:adjustRightInd w:val="0"/>
        <w:snapToGrid w:val="0"/>
        <w:spacing w:line="440" w:lineRule="exact"/>
        <w:jc w:val="both"/>
        <w:rPr>
          <w:rFonts w:hint="default" w:ascii="宋体" w:hAnsi="宋体" w:eastAsia="宋体" w:cs="Times New Roman"/>
          <w:b/>
          <w:bCs/>
          <w:color w:val="000000"/>
          <w:sz w:val="24"/>
          <w:lang w:val="en-US" w:eastAsia="zh-CN"/>
        </w:rPr>
      </w:pPr>
      <w:r>
        <w:rPr>
          <w:rFonts w:hint="eastAsia" w:ascii="宋体" w:hAnsi="宋体" w:eastAsia="宋体" w:cs="Times New Roman"/>
          <w:b/>
          <w:bCs/>
          <w:color w:val="000000"/>
          <w:sz w:val="24"/>
          <w:lang w:val="en-US" w:eastAsia="zh-CN"/>
        </w:rPr>
        <w:t>预算金额：14万元/年</w:t>
      </w:r>
    </w:p>
    <w:tbl>
      <w:tblPr>
        <w:tblStyle w:val="15"/>
        <w:tblW w:w="10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9"/>
        <w:gridCol w:w="2133"/>
        <w:gridCol w:w="1734"/>
        <w:gridCol w:w="582"/>
        <w:gridCol w:w="818"/>
        <w:gridCol w:w="4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689" w:type="dxa"/>
            <w:noWrap w:val="0"/>
            <w:vAlign w:val="center"/>
          </w:tcPr>
          <w:p>
            <w:pPr>
              <w:keepNext w:val="0"/>
              <w:keepLines w:val="0"/>
              <w:widowControl/>
              <w:suppressLineNumbers w:val="0"/>
              <w:jc w:val="center"/>
              <w:textAlignment w:val="center"/>
              <w:rPr>
                <w:sz w:val="21"/>
                <w:szCs w:val="21"/>
                <w:vertAlign w:val="baseline"/>
              </w:rPr>
            </w:pPr>
            <w:r>
              <w:rPr>
                <w:rFonts w:hint="eastAsia" w:ascii="宋体" w:hAnsi="宋体" w:eastAsia="宋体" w:cs="宋体"/>
                <w:b/>
                <w:bCs/>
                <w:i w:val="0"/>
                <w:iCs w:val="0"/>
                <w:color w:val="000000"/>
                <w:kern w:val="0"/>
                <w:sz w:val="21"/>
                <w:szCs w:val="21"/>
                <w:u w:val="none"/>
                <w:lang w:val="en-US" w:eastAsia="zh-CN" w:bidi="ar"/>
              </w:rPr>
              <w:t>序号</w:t>
            </w:r>
          </w:p>
        </w:tc>
        <w:tc>
          <w:tcPr>
            <w:tcW w:w="2133" w:type="dxa"/>
            <w:noWrap w:val="0"/>
            <w:vAlign w:val="center"/>
          </w:tcPr>
          <w:p>
            <w:pPr>
              <w:keepNext w:val="0"/>
              <w:keepLines w:val="0"/>
              <w:widowControl/>
              <w:suppressLineNumbers w:val="0"/>
              <w:jc w:val="center"/>
              <w:textAlignment w:val="center"/>
              <w:rPr>
                <w:sz w:val="21"/>
                <w:szCs w:val="21"/>
                <w:vertAlign w:val="baseline"/>
              </w:rPr>
            </w:pPr>
            <w:r>
              <w:rPr>
                <w:rFonts w:hint="eastAsia" w:ascii="宋体" w:hAnsi="宋体" w:eastAsia="宋体" w:cs="宋体"/>
                <w:b/>
                <w:bCs/>
                <w:i w:val="0"/>
                <w:iCs w:val="0"/>
                <w:color w:val="000000"/>
                <w:kern w:val="0"/>
                <w:sz w:val="21"/>
                <w:szCs w:val="21"/>
                <w:u w:val="none"/>
                <w:lang w:val="en-US" w:eastAsia="zh-CN" w:bidi="ar"/>
              </w:rPr>
              <w:t>品名</w:t>
            </w:r>
          </w:p>
        </w:tc>
        <w:tc>
          <w:tcPr>
            <w:tcW w:w="1734" w:type="dxa"/>
            <w:noWrap w:val="0"/>
            <w:vAlign w:val="center"/>
          </w:tcPr>
          <w:p>
            <w:pPr>
              <w:keepNext w:val="0"/>
              <w:keepLines w:val="0"/>
              <w:widowControl/>
              <w:suppressLineNumbers w:val="0"/>
              <w:jc w:val="center"/>
              <w:textAlignment w:val="center"/>
              <w:rPr>
                <w:sz w:val="21"/>
                <w:szCs w:val="21"/>
                <w:vertAlign w:val="baseline"/>
              </w:rPr>
            </w:pPr>
            <w:r>
              <w:rPr>
                <w:rFonts w:hint="eastAsia" w:ascii="宋体" w:hAnsi="宋体" w:eastAsia="宋体" w:cs="宋体"/>
                <w:b/>
                <w:bCs/>
                <w:i w:val="0"/>
                <w:iCs w:val="0"/>
                <w:color w:val="000000"/>
                <w:kern w:val="0"/>
                <w:sz w:val="21"/>
                <w:szCs w:val="21"/>
                <w:u w:val="none"/>
                <w:lang w:val="en-US" w:eastAsia="zh-CN" w:bidi="ar"/>
              </w:rPr>
              <w:t>规格</w:t>
            </w:r>
          </w:p>
        </w:tc>
        <w:tc>
          <w:tcPr>
            <w:tcW w:w="582" w:type="dxa"/>
            <w:noWrap w:val="0"/>
            <w:vAlign w:val="center"/>
          </w:tcPr>
          <w:p>
            <w:pPr>
              <w:keepNext w:val="0"/>
              <w:keepLines w:val="0"/>
              <w:widowControl/>
              <w:suppressLineNumbers w:val="0"/>
              <w:jc w:val="center"/>
              <w:textAlignment w:val="center"/>
              <w:rPr>
                <w:rFonts w:hint="eastAsia" w:eastAsia="宋体"/>
                <w:sz w:val="21"/>
                <w:szCs w:val="21"/>
                <w:vertAlign w:val="baseline"/>
                <w:lang w:val="en-US" w:eastAsia="zh-CN"/>
              </w:rPr>
            </w:pPr>
            <w:r>
              <w:rPr>
                <w:rFonts w:hint="eastAsia"/>
                <w:b/>
                <w:bCs/>
                <w:sz w:val="21"/>
                <w:szCs w:val="21"/>
                <w:vertAlign w:val="baseline"/>
                <w:lang w:val="en-US" w:eastAsia="zh-CN"/>
              </w:rPr>
              <w:t>单位</w:t>
            </w:r>
          </w:p>
        </w:tc>
        <w:tc>
          <w:tcPr>
            <w:tcW w:w="818" w:type="dxa"/>
            <w:noWrap w:val="0"/>
            <w:vAlign w:val="center"/>
          </w:tcPr>
          <w:p>
            <w:pPr>
              <w:keepNext w:val="0"/>
              <w:keepLines w:val="0"/>
              <w:widowControl/>
              <w:suppressLineNumbers w:val="0"/>
              <w:jc w:val="center"/>
              <w:textAlignment w:val="center"/>
              <w:rPr>
                <w:sz w:val="21"/>
                <w:szCs w:val="21"/>
                <w:vertAlign w:val="baseline"/>
              </w:rPr>
            </w:pPr>
            <w:r>
              <w:rPr>
                <w:rFonts w:hint="eastAsia" w:ascii="宋体" w:hAnsi="宋体" w:eastAsia="宋体" w:cs="宋体"/>
                <w:b/>
                <w:bCs/>
                <w:i w:val="0"/>
                <w:iCs w:val="0"/>
                <w:color w:val="000000"/>
                <w:kern w:val="0"/>
                <w:sz w:val="21"/>
                <w:szCs w:val="21"/>
                <w:u w:val="none"/>
                <w:lang w:val="en-US" w:eastAsia="zh-CN" w:bidi="ar"/>
              </w:rPr>
              <w:t>单价</w:t>
            </w:r>
          </w:p>
        </w:tc>
        <w:tc>
          <w:tcPr>
            <w:tcW w:w="4102" w:type="dxa"/>
            <w:noWrap w:val="0"/>
            <w:vAlign w:val="center"/>
          </w:tcPr>
          <w:p>
            <w:pPr>
              <w:keepNext w:val="0"/>
              <w:keepLines w:val="0"/>
              <w:widowControl/>
              <w:suppressLineNumbers w:val="0"/>
              <w:jc w:val="center"/>
              <w:textAlignment w:val="center"/>
              <w:rPr>
                <w:rFonts w:hint="eastAsia" w:eastAsia="宋体"/>
                <w:sz w:val="21"/>
                <w:szCs w:val="21"/>
                <w:vertAlign w:val="baseline"/>
                <w:lang w:val="en-US" w:eastAsia="zh-CN"/>
              </w:rPr>
            </w:pPr>
            <w:r>
              <w:rPr>
                <w:rFonts w:hint="eastAsia"/>
                <w:b/>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89"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2133"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生理性海水鼻腔护理喷雾器</w:t>
            </w:r>
          </w:p>
        </w:tc>
        <w:tc>
          <w:tcPr>
            <w:tcW w:w="1734"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60ml</w:t>
            </w:r>
          </w:p>
        </w:tc>
        <w:tc>
          <w:tcPr>
            <w:tcW w:w="582"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瓶</w:t>
            </w:r>
          </w:p>
        </w:tc>
        <w:tc>
          <w:tcPr>
            <w:tcW w:w="818"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56</w:t>
            </w:r>
          </w:p>
        </w:tc>
        <w:tc>
          <w:tcPr>
            <w:tcW w:w="4102" w:type="dxa"/>
            <w:noWrap w:val="0"/>
            <w:vAlign w:val="center"/>
          </w:tcPr>
          <w:p>
            <w:pPr>
              <w:keepNext w:val="0"/>
              <w:keepLines w:val="0"/>
              <w:widowControl/>
              <w:suppressLineNumbers w:val="0"/>
              <w:jc w:val="both"/>
              <w:textAlignment w:val="center"/>
              <w:rPr>
                <w:rFonts w:hint="default" w:eastAsia="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用于鼻炎手术后及化疗后的鼻腔清洗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89" w:type="dxa"/>
            <w:vMerge w:val="restart"/>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eastAsia="宋体"/>
                <w:sz w:val="21"/>
                <w:szCs w:val="21"/>
                <w:vertAlign w:val="baseline"/>
                <w:lang w:val="en-US" w:eastAsia="zh-CN"/>
              </w:rPr>
              <w:t>★</w:t>
            </w:r>
            <w:r>
              <w:rPr>
                <w:rFonts w:hint="eastAsia" w:ascii="宋体" w:hAnsi="宋体" w:eastAsia="宋体" w:cs="宋体"/>
                <w:i w:val="0"/>
                <w:iCs w:val="0"/>
                <w:color w:val="000000"/>
                <w:kern w:val="0"/>
                <w:sz w:val="21"/>
                <w:szCs w:val="21"/>
                <w:u w:val="none"/>
                <w:lang w:val="en-US" w:eastAsia="zh-CN" w:bidi="ar"/>
              </w:rPr>
              <w:t>2</w:t>
            </w:r>
          </w:p>
        </w:tc>
        <w:tc>
          <w:tcPr>
            <w:tcW w:w="2133"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可降解耳鼻止血绵</w:t>
            </w:r>
          </w:p>
        </w:tc>
        <w:tc>
          <w:tcPr>
            <w:tcW w:w="1734"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（≥8×2×1.5cm（鼻科用））</w:t>
            </w:r>
          </w:p>
        </w:tc>
        <w:tc>
          <w:tcPr>
            <w:tcW w:w="582"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个</w:t>
            </w:r>
          </w:p>
        </w:tc>
        <w:tc>
          <w:tcPr>
            <w:tcW w:w="818"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cs="宋体"/>
                <w:kern w:val="2"/>
                <w:sz w:val="21"/>
                <w:szCs w:val="21"/>
                <w:vertAlign w:val="baseline"/>
                <w:lang w:val="en-US" w:eastAsia="zh-CN" w:bidi="ar-SA"/>
              </w:rPr>
              <w:t>460</w:t>
            </w:r>
          </w:p>
        </w:tc>
        <w:tc>
          <w:tcPr>
            <w:tcW w:w="4102" w:type="dxa"/>
            <w:vMerge w:val="restart"/>
            <w:noWrap w:val="0"/>
            <w:vAlign w:val="center"/>
          </w:tcPr>
          <w:p>
            <w:pPr>
              <w:keepNext w:val="0"/>
              <w:keepLines w:val="0"/>
              <w:widowControl/>
              <w:suppressLineNumbers w:val="0"/>
              <w:jc w:val="left"/>
              <w:textAlignment w:val="center"/>
              <w:rPr>
                <w:sz w:val="21"/>
                <w:szCs w:val="21"/>
                <w:vertAlign w:val="baseline"/>
              </w:rPr>
            </w:pPr>
            <w:r>
              <w:rPr>
                <w:rFonts w:hint="eastAsia"/>
                <w:sz w:val="22"/>
                <w:szCs w:val="28"/>
              </w:rPr>
              <w:t>产品具备膨胀止血和可降解的特点，是耳鼻手术后理想的填塞材料;95%高孔隙率，可有效促进凝血，止血更迅速:具有良好的吸收性和柔韧性，组织相容性好，止血的同时保护创面组织，防止粘连;置入术腔后迅速有效止血，24小时内保持膨胀弹性，48小时内维持完整性，无需抽取,减轻医护人员工作量，大大减轻患者痛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0" w:hRule="atLeast"/>
          <w:jc w:val="center"/>
        </w:trPr>
        <w:tc>
          <w:tcPr>
            <w:tcW w:w="689" w:type="dxa"/>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133"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可降解耳鼻止血绵</w:t>
            </w:r>
          </w:p>
        </w:tc>
        <w:tc>
          <w:tcPr>
            <w:tcW w:w="1734"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（≥4×2×0.15cm（耳科用））</w:t>
            </w:r>
          </w:p>
        </w:tc>
        <w:tc>
          <w:tcPr>
            <w:tcW w:w="582"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个</w:t>
            </w:r>
          </w:p>
        </w:tc>
        <w:tc>
          <w:tcPr>
            <w:tcW w:w="818"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cs="宋体"/>
                <w:kern w:val="2"/>
                <w:sz w:val="21"/>
                <w:szCs w:val="21"/>
                <w:vertAlign w:val="baseline"/>
                <w:lang w:val="en-US" w:eastAsia="zh-CN" w:bidi="ar-SA"/>
              </w:rPr>
              <w:t>440</w:t>
            </w:r>
          </w:p>
        </w:tc>
        <w:tc>
          <w:tcPr>
            <w:tcW w:w="4102" w:type="dxa"/>
            <w:vMerge w:val="continue"/>
            <w:noWrap w:val="0"/>
            <w:vAlign w:val="center"/>
          </w:tcPr>
          <w:p>
            <w:pPr>
              <w:keepNext w:val="0"/>
              <w:keepLines w:val="0"/>
              <w:widowControl/>
              <w:suppressLineNumbers w:val="0"/>
              <w:jc w:val="left"/>
              <w:textAlignment w:val="center"/>
              <w:rPr>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689"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2133"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医用多孔复合聚乙烯醇海绵</w:t>
            </w:r>
          </w:p>
        </w:tc>
        <w:tc>
          <w:tcPr>
            <w:tcW w:w="1734"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 xml:space="preserve">80*20*15mm </w:t>
            </w:r>
          </w:p>
        </w:tc>
        <w:tc>
          <w:tcPr>
            <w:tcW w:w="582"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片</w:t>
            </w:r>
          </w:p>
        </w:tc>
        <w:tc>
          <w:tcPr>
            <w:tcW w:w="818"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60</w:t>
            </w:r>
          </w:p>
        </w:tc>
        <w:tc>
          <w:tcPr>
            <w:tcW w:w="4102" w:type="dxa"/>
            <w:noWrap w:val="0"/>
            <w:vAlign w:val="center"/>
          </w:tcPr>
          <w:p>
            <w:pPr>
              <w:keepNext w:val="0"/>
              <w:keepLines w:val="0"/>
              <w:widowControl/>
              <w:suppressLineNumbers w:val="0"/>
              <w:jc w:val="left"/>
              <w:textAlignment w:val="center"/>
              <w:rPr>
                <w:rFonts w:hint="default" w:eastAsia="宋体"/>
                <w:sz w:val="21"/>
                <w:szCs w:val="21"/>
                <w:vertAlign w:val="baseline"/>
                <w:lang w:val="en-US" w:eastAsia="zh-CN"/>
              </w:rPr>
            </w:pPr>
            <w:r>
              <w:rPr>
                <w:rFonts w:hint="eastAsia"/>
                <w:sz w:val="21"/>
                <w:szCs w:val="21"/>
                <w:vertAlign w:val="baseline"/>
                <w:lang w:val="en-US" w:eastAsia="zh-CN"/>
              </w:rPr>
              <w:t>用于创面及鼻腔止血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89"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2133"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绷带镜</w:t>
            </w:r>
          </w:p>
        </w:tc>
        <w:tc>
          <w:tcPr>
            <w:tcW w:w="1734"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p>
        </w:tc>
        <w:tc>
          <w:tcPr>
            <w:tcW w:w="582"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片</w:t>
            </w:r>
          </w:p>
        </w:tc>
        <w:tc>
          <w:tcPr>
            <w:tcW w:w="818"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235</w:t>
            </w:r>
          </w:p>
        </w:tc>
        <w:tc>
          <w:tcPr>
            <w:tcW w:w="4102" w:type="dxa"/>
            <w:noWrap w:val="0"/>
            <w:vAlign w:val="center"/>
          </w:tcPr>
          <w:p>
            <w:pPr>
              <w:keepNext w:val="0"/>
              <w:keepLines w:val="0"/>
              <w:widowControl/>
              <w:suppressLineNumbers w:val="0"/>
              <w:jc w:val="left"/>
              <w:textAlignment w:val="center"/>
              <w:rPr>
                <w:rFonts w:hint="default"/>
                <w:sz w:val="21"/>
                <w:szCs w:val="21"/>
                <w:vertAlign w:val="baseline"/>
                <w:lang w:val="en-US"/>
              </w:rPr>
            </w:pPr>
            <w:r>
              <w:rPr>
                <w:rFonts w:hint="eastAsia" w:ascii="宋体" w:hAnsi="宋体" w:eastAsia="宋体" w:cs="宋体"/>
                <w:kern w:val="2"/>
                <w:sz w:val="21"/>
                <w:szCs w:val="21"/>
                <w:vertAlign w:val="baseline"/>
                <w:lang w:val="en-US" w:eastAsia="zh-CN" w:bidi="ar-SA"/>
              </w:rPr>
              <w:t>连续佩戴型，可连续过夜配戴20天以上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89"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eastAsia="宋体"/>
                <w:sz w:val="21"/>
                <w:szCs w:val="21"/>
                <w:vertAlign w:val="baseline"/>
                <w:lang w:val="en-US" w:eastAsia="zh-CN"/>
              </w:rPr>
              <w:t>★</w:t>
            </w:r>
            <w:r>
              <w:rPr>
                <w:rFonts w:hint="eastAsia" w:ascii="宋体" w:hAnsi="宋体" w:eastAsia="宋体" w:cs="宋体"/>
                <w:i w:val="0"/>
                <w:iCs w:val="0"/>
                <w:color w:val="000000"/>
                <w:kern w:val="0"/>
                <w:sz w:val="21"/>
                <w:szCs w:val="21"/>
                <w:u w:val="none"/>
                <w:lang w:val="en-US" w:eastAsia="zh-CN" w:bidi="ar"/>
              </w:rPr>
              <w:t>6</w:t>
            </w:r>
          </w:p>
        </w:tc>
        <w:tc>
          <w:tcPr>
            <w:tcW w:w="2133"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鼻泪道再通管</w:t>
            </w:r>
          </w:p>
        </w:tc>
        <w:tc>
          <w:tcPr>
            <w:tcW w:w="1734"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p>
        </w:tc>
        <w:tc>
          <w:tcPr>
            <w:tcW w:w="582"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套</w:t>
            </w:r>
          </w:p>
        </w:tc>
        <w:tc>
          <w:tcPr>
            <w:tcW w:w="818"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cs="宋体"/>
                <w:kern w:val="2"/>
                <w:sz w:val="21"/>
                <w:szCs w:val="21"/>
                <w:vertAlign w:val="baseline"/>
                <w:lang w:val="en-US" w:eastAsia="zh-CN" w:bidi="ar-SA"/>
              </w:rPr>
              <w:t>950</w:t>
            </w:r>
          </w:p>
        </w:tc>
        <w:tc>
          <w:tcPr>
            <w:tcW w:w="4102" w:type="dxa"/>
            <w:noWrap w:val="0"/>
            <w:vAlign w:val="center"/>
          </w:tcPr>
          <w:p>
            <w:pPr>
              <w:rPr>
                <w:rFonts w:hint="eastAsia" w:eastAsia="宋体"/>
                <w:lang w:eastAsia="zh-CN"/>
              </w:rPr>
            </w:pPr>
            <w:r>
              <w:rPr>
                <w:rFonts w:hint="eastAsia"/>
              </w:rPr>
              <w:t>泪小管阻塞</w:t>
            </w:r>
            <w:r>
              <w:rPr>
                <w:rFonts w:hint="eastAsia"/>
                <w:lang w:eastAsia="zh-CN"/>
              </w:rPr>
              <w:t>、</w:t>
            </w:r>
            <w:r>
              <w:rPr>
                <w:rFonts w:hint="eastAsia"/>
              </w:rPr>
              <w:t>泪总管阻塞</w:t>
            </w:r>
            <w:r>
              <w:rPr>
                <w:rFonts w:hint="eastAsia"/>
                <w:lang w:eastAsia="zh-CN"/>
              </w:rPr>
              <w:t>、</w:t>
            </w:r>
            <w:r>
              <w:rPr>
                <w:rFonts w:hint="eastAsia"/>
              </w:rPr>
              <w:t>泪小管外伤断裂</w:t>
            </w:r>
            <w:r>
              <w:rPr>
                <w:rFonts w:hint="eastAsia"/>
                <w:lang w:eastAsia="zh-CN"/>
              </w:rPr>
              <w:t>、</w:t>
            </w:r>
            <w:r>
              <w:rPr>
                <w:rFonts w:hint="eastAsia"/>
              </w:rPr>
              <w:t>鼻内窥镜下泪囊鼻腔吻合术</w:t>
            </w:r>
            <w:r>
              <w:rPr>
                <w:rFonts w:hint="eastAsia"/>
                <w:lang w:eastAsia="zh-CN"/>
              </w:rPr>
              <w:t>；</w:t>
            </w:r>
            <w:r>
              <w:rPr>
                <w:rFonts w:hint="eastAsia"/>
                <w:lang w:val="en-US" w:eastAsia="zh-CN"/>
              </w:rPr>
              <w:t>要求</w:t>
            </w:r>
            <w:r>
              <w:rPr>
                <w:rFonts w:hint="eastAsia"/>
              </w:rPr>
              <w:t>管体外径技术要求：0.5㎜±0.1㎜</w:t>
            </w:r>
            <w:r>
              <w:rPr>
                <w:rFonts w:hint="eastAsia"/>
                <w:lang w:eastAsia="zh-CN"/>
              </w:rPr>
              <w:t>，</w:t>
            </w:r>
            <w:r>
              <w:rPr>
                <w:rFonts w:hint="eastAsia"/>
              </w:rPr>
              <w:t>管体总长技术要求：1.4㎜±0.2㎜</w:t>
            </w:r>
            <w:r>
              <w:rPr>
                <w:rFonts w:hint="eastAsia"/>
                <w:lang w:eastAsia="zh-CN"/>
              </w:rPr>
              <w:t>，</w:t>
            </w:r>
            <w:r>
              <w:rPr>
                <w:rFonts w:hint="eastAsia"/>
              </w:rPr>
              <w:t>笔式扩张置入器，置入更安全、便捷</w:t>
            </w:r>
            <w:r>
              <w:rPr>
                <w:rFonts w:hint="eastAsia"/>
                <w:lang w:eastAsia="zh-CN"/>
              </w:rPr>
              <w:t>；</w:t>
            </w:r>
            <w:r>
              <w:rPr>
                <w:rFonts w:hint="eastAsia"/>
              </w:rPr>
              <w:t>再通管采用医用硅橡胶，具备较好的伸缩性、耐拉性，管体总长</w:t>
            </w:r>
            <w:r>
              <w:rPr>
                <w:rFonts w:hint="eastAsia"/>
                <w:lang w:val="en-US" w:eastAsia="zh-CN"/>
              </w:rPr>
              <w:t>≥</w:t>
            </w:r>
            <w:r>
              <w:rPr>
                <w:rFonts w:hint="eastAsia"/>
              </w:rPr>
              <w:t>30㎜，管体外径</w:t>
            </w:r>
            <w:r>
              <w:rPr>
                <w:rFonts w:hint="eastAsia"/>
                <w:lang w:val="en-US" w:eastAsia="zh-CN"/>
              </w:rPr>
              <w:t>≤</w:t>
            </w:r>
            <w:r>
              <w:rPr>
                <w:rFonts w:hint="eastAsia"/>
              </w:rPr>
              <w:t>1.0㎜，单侧进入泪小管，无需鼻腔打结勾取。</w:t>
            </w:r>
          </w:p>
          <w:p>
            <w:pPr>
              <w:rPr>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89"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eastAsia="宋体"/>
                <w:sz w:val="21"/>
                <w:szCs w:val="21"/>
                <w:vertAlign w:val="baseline"/>
                <w:lang w:val="en-US" w:eastAsia="zh-CN"/>
              </w:rPr>
              <w:t>★</w:t>
            </w:r>
            <w:r>
              <w:rPr>
                <w:rFonts w:hint="eastAsia" w:ascii="宋体" w:hAnsi="宋体" w:eastAsia="宋体" w:cs="宋体"/>
                <w:i w:val="0"/>
                <w:iCs w:val="0"/>
                <w:color w:val="000000"/>
                <w:kern w:val="0"/>
                <w:sz w:val="21"/>
                <w:szCs w:val="21"/>
                <w:u w:val="none"/>
                <w:lang w:val="en-US" w:eastAsia="zh-CN" w:bidi="ar"/>
              </w:rPr>
              <w:t>7</w:t>
            </w:r>
          </w:p>
        </w:tc>
        <w:tc>
          <w:tcPr>
            <w:tcW w:w="2133"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带非吸收线缝合针</w:t>
            </w:r>
          </w:p>
        </w:tc>
        <w:tc>
          <w:tcPr>
            <w:tcW w:w="1734"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各规格</w:t>
            </w:r>
          </w:p>
        </w:tc>
        <w:tc>
          <w:tcPr>
            <w:tcW w:w="582"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包</w:t>
            </w:r>
          </w:p>
        </w:tc>
        <w:tc>
          <w:tcPr>
            <w:tcW w:w="818"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140</w:t>
            </w:r>
          </w:p>
        </w:tc>
        <w:tc>
          <w:tcPr>
            <w:tcW w:w="4102" w:type="dxa"/>
            <w:noWrap w:val="0"/>
            <w:vAlign w:val="center"/>
          </w:tcPr>
          <w:p>
            <w:pPr>
              <w:keepNext w:val="0"/>
              <w:keepLines w:val="0"/>
              <w:widowControl/>
              <w:suppressLineNumbers w:val="0"/>
              <w:jc w:val="left"/>
              <w:textAlignment w:val="center"/>
              <w:rPr>
                <w:rFonts w:hint="default"/>
                <w:sz w:val="21"/>
                <w:szCs w:val="21"/>
                <w:vertAlign w:val="baseline"/>
                <w:lang w:val="en-US"/>
              </w:rPr>
            </w:pPr>
            <w:r>
              <w:rPr>
                <w:rFonts w:hint="eastAsia" w:ascii="宋体" w:hAnsi="宋体" w:cs="宋体"/>
                <w:kern w:val="2"/>
                <w:sz w:val="21"/>
                <w:szCs w:val="21"/>
                <w:vertAlign w:val="baseline"/>
                <w:lang w:val="en-US" w:eastAsia="zh-CN" w:bidi="ar-SA"/>
              </w:rPr>
              <w:t>分别</w:t>
            </w:r>
            <w:r>
              <w:rPr>
                <w:rFonts w:hint="eastAsia" w:ascii="宋体" w:hAnsi="宋体" w:eastAsia="宋体" w:cs="宋体"/>
                <w:kern w:val="2"/>
                <w:sz w:val="21"/>
                <w:szCs w:val="21"/>
                <w:vertAlign w:val="baseline"/>
                <w:lang w:val="en-US" w:eastAsia="zh-CN" w:bidi="ar-SA"/>
              </w:rPr>
              <w:t>锦纶线、涤纶线、丝线、丙纶线</w:t>
            </w:r>
            <w:r>
              <w:rPr>
                <w:rFonts w:hint="eastAsia" w:ascii="宋体" w:hAnsi="宋体" w:cs="宋体"/>
                <w:kern w:val="2"/>
                <w:sz w:val="21"/>
                <w:szCs w:val="21"/>
                <w:vertAlign w:val="baseline"/>
                <w:lang w:val="en-US" w:eastAsia="zh-CN" w:bidi="ar-SA"/>
              </w:rPr>
              <w:t>材质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89" w:type="dxa"/>
            <w:noWrap w:val="0"/>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2133"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医用硅凝胶膜敷料</w:t>
            </w:r>
          </w:p>
        </w:tc>
        <w:tc>
          <w:tcPr>
            <w:tcW w:w="1734"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3*12cm</w:t>
            </w:r>
          </w:p>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p>
        </w:tc>
        <w:tc>
          <w:tcPr>
            <w:tcW w:w="582"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片</w:t>
            </w:r>
          </w:p>
        </w:tc>
        <w:tc>
          <w:tcPr>
            <w:tcW w:w="818"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120</w:t>
            </w:r>
          </w:p>
        </w:tc>
        <w:tc>
          <w:tcPr>
            <w:tcW w:w="4102" w:type="dxa"/>
            <w:noWrap w:val="0"/>
            <w:vAlign w:val="center"/>
          </w:tcPr>
          <w:p>
            <w:pPr>
              <w:keepNext w:val="0"/>
              <w:keepLines w:val="0"/>
              <w:widowControl/>
              <w:suppressLineNumbers w:val="0"/>
              <w:jc w:val="left"/>
              <w:textAlignment w:val="center"/>
              <w:rPr>
                <w:sz w:val="21"/>
                <w:szCs w:val="21"/>
                <w:vertAlign w:val="baseline"/>
              </w:rPr>
            </w:pPr>
            <w:r>
              <w:rPr>
                <w:rFonts w:hint="eastAsia" w:ascii="宋体" w:hAnsi="宋体" w:eastAsia="宋体" w:cs="宋体"/>
                <w:kern w:val="2"/>
                <w:sz w:val="21"/>
                <w:szCs w:val="21"/>
                <w:vertAlign w:val="baseline"/>
                <w:lang w:val="en-US" w:eastAsia="zh-CN" w:bidi="ar-SA"/>
              </w:rPr>
              <w:t>产品硅酮凝胶层，用于完整皮肤的新旧增生性疤痕或肿瘤性疤痕,新愈合创面的疤痕护理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89"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2133"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p>
        </w:tc>
        <w:tc>
          <w:tcPr>
            <w:tcW w:w="1734"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3.20cm</w:t>
            </w:r>
          </w:p>
        </w:tc>
        <w:tc>
          <w:tcPr>
            <w:tcW w:w="582"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片</w:t>
            </w:r>
          </w:p>
        </w:tc>
        <w:tc>
          <w:tcPr>
            <w:tcW w:w="818"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170</w:t>
            </w:r>
          </w:p>
        </w:tc>
        <w:tc>
          <w:tcPr>
            <w:tcW w:w="4102" w:type="dxa"/>
            <w:noWrap w:val="0"/>
            <w:vAlign w:val="center"/>
          </w:tcPr>
          <w:p>
            <w:pPr>
              <w:keepNext w:val="0"/>
              <w:keepLines w:val="0"/>
              <w:widowControl/>
              <w:suppressLineNumbers w:val="0"/>
              <w:jc w:val="left"/>
              <w:textAlignment w:val="center"/>
              <w:rPr>
                <w:sz w:val="21"/>
                <w:szCs w:val="21"/>
                <w:vertAlign w:val="baseline"/>
              </w:rPr>
            </w:pPr>
            <w:r>
              <w:rPr>
                <w:rFonts w:hint="eastAsia" w:ascii="宋体" w:hAnsi="宋体" w:eastAsia="宋体" w:cs="宋体"/>
                <w:kern w:val="2"/>
                <w:sz w:val="21"/>
                <w:szCs w:val="21"/>
                <w:vertAlign w:val="baseline"/>
                <w:lang w:val="en-US" w:eastAsia="zh-CN" w:bidi="ar-SA"/>
              </w:rPr>
              <w:t>产品硅酮凝胶层，用于完整皮肤的新旧增生性疤痕或肿瘤性疤痕,新愈合创面的疤痕护理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89"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2133"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硬性接触镜配试纸</w:t>
            </w:r>
          </w:p>
        </w:tc>
        <w:tc>
          <w:tcPr>
            <w:tcW w:w="1734"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p>
        </w:tc>
        <w:tc>
          <w:tcPr>
            <w:tcW w:w="582"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盒</w:t>
            </w:r>
          </w:p>
        </w:tc>
        <w:tc>
          <w:tcPr>
            <w:tcW w:w="818"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38</w:t>
            </w:r>
          </w:p>
        </w:tc>
        <w:tc>
          <w:tcPr>
            <w:tcW w:w="4102" w:type="dxa"/>
            <w:noWrap w:val="0"/>
            <w:vAlign w:val="center"/>
          </w:tcPr>
          <w:p>
            <w:pPr>
              <w:keepNext w:val="0"/>
              <w:keepLines w:val="0"/>
              <w:widowControl/>
              <w:suppressLineNumbers w:val="0"/>
              <w:jc w:val="left"/>
              <w:textAlignment w:val="center"/>
              <w:rPr>
                <w:rFonts w:hint="eastAsia"/>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用于指示配戴硬性接触镜后的泪液分布状态以评估接触镜适配性。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689"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12</w:t>
            </w:r>
          </w:p>
        </w:tc>
        <w:tc>
          <w:tcPr>
            <w:tcW w:w="2133"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泪液检测试纸</w:t>
            </w:r>
          </w:p>
        </w:tc>
        <w:tc>
          <w:tcPr>
            <w:tcW w:w="1734"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p>
        </w:tc>
        <w:tc>
          <w:tcPr>
            <w:tcW w:w="582"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个</w:t>
            </w:r>
          </w:p>
        </w:tc>
        <w:tc>
          <w:tcPr>
            <w:tcW w:w="818"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75</w:t>
            </w:r>
          </w:p>
        </w:tc>
        <w:tc>
          <w:tcPr>
            <w:tcW w:w="4102" w:type="dxa"/>
            <w:noWrap w:val="0"/>
            <w:vAlign w:val="center"/>
          </w:tcPr>
          <w:p>
            <w:pPr>
              <w:keepNext w:val="0"/>
              <w:keepLines w:val="0"/>
              <w:widowControl/>
              <w:suppressLineNumbers w:val="0"/>
              <w:jc w:val="left"/>
              <w:textAlignment w:val="center"/>
              <w:rPr>
                <w:sz w:val="21"/>
                <w:szCs w:val="21"/>
                <w:vertAlign w:val="baseline"/>
              </w:rPr>
            </w:pPr>
            <w:r>
              <w:rPr>
                <w:rFonts w:hint="eastAsia" w:ascii="宋体" w:hAnsi="宋体" w:eastAsia="宋体" w:cs="宋体"/>
                <w:kern w:val="2"/>
                <w:sz w:val="21"/>
                <w:szCs w:val="21"/>
                <w:vertAlign w:val="baseline"/>
                <w:lang w:val="en-US" w:eastAsia="zh-CN" w:bidi="ar-SA"/>
              </w:rPr>
              <w:t>用于泪液分泌障碍的检测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689"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13</w:t>
            </w:r>
          </w:p>
        </w:tc>
        <w:tc>
          <w:tcPr>
            <w:tcW w:w="2133"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高级光面照片纸</w:t>
            </w:r>
          </w:p>
        </w:tc>
        <w:tc>
          <w:tcPr>
            <w:tcW w:w="1734"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210*297</w:t>
            </w:r>
          </w:p>
        </w:tc>
        <w:tc>
          <w:tcPr>
            <w:tcW w:w="582"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张</w:t>
            </w:r>
          </w:p>
        </w:tc>
        <w:tc>
          <w:tcPr>
            <w:tcW w:w="818"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3.5</w:t>
            </w:r>
          </w:p>
        </w:tc>
        <w:tc>
          <w:tcPr>
            <w:tcW w:w="4102" w:type="dxa"/>
            <w:noWrap w:val="0"/>
            <w:vAlign w:val="center"/>
          </w:tcPr>
          <w:p>
            <w:pPr>
              <w:keepNext w:val="0"/>
              <w:keepLines w:val="0"/>
              <w:widowControl/>
              <w:suppressLineNumbers w:val="0"/>
              <w:jc w:val="left"/>
              <w:textAlignment w:val="center"/>
              <w:rPr>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9" w:type="dxa"/>
            <w:noWrap w:val="0"/>
            <w:vAlign w:val="center"/>
          </w:tcPr>
          <w:p>
            <w:pPr>
              <w:keepNext w:val="0"/>
              <w:keepLines w:val="0"/>
              <w:widowControl/>
              <w:suppressLineNumbers w:val="0"/>
              <w:jc w:val="center"/>
              <w:textAlignment w:val="center"/>
              <w:rPr>
                <w:rFonts w:hint="eastAsia" w:ascii="宋体" w:hAnsi="宋体" w:eastAsia="宋体" w:cs="宋体"/>
                <w:b w:val="0"/>
                <w:bCs w:val="0"/>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14</w:t>
            </w:r>
          </w:p>
        </w:tc>
        <w:tc>
          <w:tcPr>
            <w:tcW w:w="2133"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高级光面照片纸</w:t>
            </w:r>
          </w:p>
        </w:tc>
        <w:tc>
          <w:tcPr>
            <w:tcW w:w="1734"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102*152</w:t>
            </w:r>
          </w:p>
        </w:tc>
        <w:tc>
          <w:tcPr>
            <w:tcW w:w="582"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张</w:t>
            </w:r>
          </w:p>
        </w:tc>
        <w:tc>
          <w:tcPr>
            <w:tcW w:w="818"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0.8</w:t>
            </w:r>
          </w:p>
        </w:tc>
        <w:tc>
          <w:tcPr>
            <w:tcW w:w="4102" w:type="dxa"/>
            <w:noWrap w:val="0"/>
            <w:vAlign w:val="center"/>
          </w:tcPr>
          <w:p>
            <w:pPr>
              <w:keepNext w:val="0"/>
              <w:keepLines w:val="0"/>
              <w:widowControl/>
              <w:suppressLineNumbers w:val="0"/>
              <w:jc w:val="left"/>
              <w:textAlignment w:val="center"/>
              <w:rPr>
                <w:rFonts w:hint="default"/>
                <w:sz w:val="21"/>
                <w:szCs w:val="21"/>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89"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2133"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lang w:val="en-US"/>
              </w:rPr>
              <w:t>一次性无菌注射针（锐针）</w:t>
            </w:r>
          </w:p>
        </w:tc>
        <w:tc>
          <w:tcPr>
            <w:tcW w:w="1734" w:type="dxa"/>
            <w:noWrap w:val="0"/>
            <w:vAlign w:val="center"/>
          </w:tcPr>
          <w:p>
            <w:pPr>
              <w:pStyle w:val="23"/>
              <w:numPr>
                <w:ilvl w:val="0"/>
                <w:numId w:val="0"/>
              </w:numPr>
              <w:rPr>
                <w:rFonts w:hint="default"/>
                <w:lang w:val="en-US" w:eastAsia="zh-CN"/>
              </w:rPr>
            </w:pPr>
            <w:r>
              <w:rPr>
                <w:rFonts w:hint="default"/>
                <w:lang w:val="en-US" w:eastAsia="zh-CN"/>
              </w:rPr>
              <w:t>30G（0.3×13）</w:t>
            </w:r>
          </w:p>
          <w:p>
            <w:pPr>
              <w:pStyle w:val="23"/>
              <w:numPr>
                <w:ilvl w:val="0"/>
                <w:numId w:val="0"/>
              </w:numPr>
              <w:rPr>
                <w:rFonts w:hint="default"/>
                <w:lang w:val="en-US" w:eastAsia="zh-CN"/>
              </w:rPr>
            </w:pPr>
            <w:r>
              <w:rPr>
                <w:rFonts w:hint="default"/>
                <w:lang w:val="en-US" w:eastAsia="zh-CN"/>
              </w:rPr>
              <w:t>32G（0.23×4）</w:t>
            </w:r>
          </w:p>
          <w:p>
            <w:pPr>
              <w:pStyle w:val="23"/>
              <w:numPr>
                <w:ilvl w:val="0"/>
                <w:numId w:val="0"/>
              </w:numPr>
              <w:rPr>
                <w:rFonts w:hint="default"/>
                <w:lang w:val="en-US" w:eastAsia="zh-CN"/>
              </w:rPr>
            </w:pPr>
            <w:r>
              <w:rPr>
                <w:rFonts w:hint="default"/>
                <w:lang w:val="en-US" w:eastAsia="zh-CN"/>
              </w:rPr>
              <w:t>34G（0.18×4）</w:t>
            </w:r>
          </w:p>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p>
        </w:tc>
        <w:tc>
          <w:tcPr>
            <w:tcW w:w="582"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cs="宋体"/>
                <w:kern w:val="2"/>
                <w:sz w:val="21"/>
                <w:szCs w:val="21"/>
                <w:vertAlign w:val="baseline"/>
                <w:lang w:val="en-US" w:eastAsia="zh-CN" w:bidi="ar-SA"/>
              </w:rPr>
              <w:t>个</w:t>
            </w:r>
          </w:p>
        </w:tc>
        <w:tc>
          <w:tcPr>
            <w:tcW w:w="818" w:type="dxa"/>
            <w:noWrap w:val="0"/>
            <w:vAlign w:val="center"/>
          </w:tcPr>
          <w:p>
            <w:pPr>
              <w:keepNext w:val="0"/>
              <w:keepLines w:val="0"/>
              <w:widowControl/>
              <w:suppressLineNumbers w:val="0"/>
              <w:jc w:val="left"/>
              <w:textAlignment w:val="center"/>
              <w:rPr>
                <w:rFonts w:hint="eastAsia" w:ascii="宋体" w:hAnsi="宋体" w:cs="宋体"/>
                <w:kern w:val="2"/>
                <w:sz w:val="21"/>
                <w:szCs w:val="21"/>
                <w:vertAlign w:val="baseline"/>
                <w:lang w:val="en-US" w:eastAsia="zh-CN" w:bidi="ar-SA"/>
              </w:rPr>
            </w:pPr>
            <w:r>
              <w:rPr>
                <w:rFonts w:hint="eastAsia" w:ascii="宋体" w:hAnsi="宋体" w:cs="宋体"/>
                <w:kern w:val="2"/>
                <w:sz w:val="21"/>
                <w:szCs w:val="21"/>
                <w:vertAlign w:val="baseline"/>
                <w:lang w:val="en-US" w:eastAsia="zh-CN" w:bidi="ar-SA"/>
              </w:rPr>
              <w:t>0.65</w:t>
            </w:r>
          </w:p>
          <w:p>
            <w:pPr>
              <w:keepNext w:val="0"/>
              <w:keepLines w:val="0"/>
              <w:widowControl/>
              <w:suppressLineNumbers w:val="0"/>
              <w:jc w:val="left"/>
              <w:textAlignment w:val="center"/>
              <w:rPr>
                <w:rFonts w:hint="eastAsia" w:ascii="宋体" w:hAnsi="宋体" w:cs="宋体"/>
                <w:kern w:val="2"/>
                <w:sz w:val="21"/>
                <w:szCs w:val="21"/>
                <w:vertAlign w:val="baseline"/>
                <w:lang w:val="en-US" w:eastAsia="zh-CN" w:bidi="ar-SA"/>
              </w:rPr>
            </w:pPr>
            <w:r>
              <w:rPr>
                <w:rFonts w:hint="eastAsia" w:ascii="宋体" w:hAnsi="宋体" w:cs="宋体"/>
                <w:kern w:val="2"/>
                <w:sz w:val="21"/>
                <w:szCs w:val="21"/>
                <w:vertAlign w:val="baseline"/>
                <w:lang w:val="en-US" w:eastAsia="zh-CN" w:bidi="ar-SA"/>
              </w:rPr>
              <w:t>4.5</w:t>
            </w:r>
          </w:p>
          <w:p>
            <w:pPr>
              <w:keepNext w:val="0"/>
              <w:keepLines w:val="0"/>
              <w:widowControl/>
              <w:suppressLineNumbers w:val="0"/>
              <w:jc w:val="left"/>
              <w:textAlignment w:val="center"/>
              <w:rPr>
                <w:rFonts w:hint="default" w:ascii="宋体" w:hAnsi="宋体" w:cs="宋体"/>
                <w:kern w:val="2"/>
                <w:sz w:val="21"/>
                <w:szCs w:val="21"/>
                <w:vertAlign w:val="baseline"/>
                <w:lang w:val="en-US" w:eastAsia="zh-CN" w:bidi="ar-SA"/>
              </w:rPr>
            </w:pPr>
            <w:r>
              <w:rPr>
                <w:rFonts w:hint="eastAsia" w:ascii="宋体" w:hAnsi="宋体" w:cs="宋体"/>
                <w:kern w:val="2"/>
                <w:sz w:val="21"/>
                <w:szCs w:val="21"/>
                <w:vertAlign w:val="baseline"/>
                <w:lang w:val="en-US" w:eastAsia="zh-CN" w:bidi="ar-SA"/>
              </w:rPr>
              <w:t>7.5</w:t>
            </w:r>
          </w:p>
        </w:tc>
        <w:tc>
          <w:tcPr>
            <w:tcW w:w="4102" w:type="dxa"/>
            <w:noWrap w:val="0"/>
            <w:vAlign w:val="center"/>
          </w:tcPr>
          <w:p>
            <w:pPr>
              <w:pStyle w:val="23"/>
              <w:numPr>
                <w:ilvl w:val="0"/>
                <w:numId w:val="0"/>
              </w:numPr>
            </w:pPr>
            <w:r>
              <w:rPr>
                <w:rFonts w:hint="eastAsia"/>
                <w:lang w:val="en-US" w:eastAsia="zh-CN"/>
              </w:rPr>
              <w:t>用于眼部注射麻药，肉毒素等减少疼痛感</w:t>
            </w:r>
          </w:p>
          <w:p>
            <w:pPr>
              <w:keepNext w:val="0"/>
              <w:keepLines w:val="0"/>
              <w:widowControl/>
              <w:suppressLineNumbers w:val="0"/>
              <w:jc w:val="left"/>
              <w:textAlignment w:val="center"/>
              <w:rPr>
                <w:rFonts w:hint="default"/>
                <w:sz w:val="21"/>
                <w:szCs w:val="21"/>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89"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16</w:t>
            </w:r>
          </w:p>
        </w:tc>
        <w:tc>
          <w:tcPr>
            <w:tcW w:w="2133" w:type="dxa"/>
            <w:noWrap w:val="0"/>
            <w:vAlign w:val="center"/>
          </w:tcPr>
          <w:p>
            <w:pPr>
              <w:keepNext w:val="0"/>
              <w:keepLines w:val="0"/>
              <w:widowControl/>
              <w:suppressLineNumbers w:val="0"/>
              <w:jc w:val="left"/>
              <w:textAlignment w:val="center"/>
              <w:rPr>
                <w:lang w:val="en-US"/>
              </w:rPr>
            </w:pPr>
            <w:r>
              <w:rPr>
                <w:lang w:val="en-US"/>
              </w:rPr>
              <w:t>一次性使用无菌冲洗针（钝针）</w:t>
            </w:r>
          </w:p>
        </w:tc>
        <w:tc>
          <w:tcPr>
            <w:tcW w:w="1734" w:type="dxa"/>
            <w:noWrap w:val="0"/>
            <w:vAlign w:val="center"/>
          </w:tcPr>
          <w:p>
            <w:pPr>
              <w:pStyle w:val="23"/>
              <w:numPr>
                <w:ilvl w:val="0"/>
                <w:numId w:val="0"/>
              </w:numPr>
              <w:ind w:left="420" w:firstLine="0" w:firstLineChars="0"/>
              <w:rPr>
                <w:rFonts w:hint="default"/>
                <w:lang w:val="en-US" w:eastAsia="zh-CN"/>
              </w:rPr>
            </w:pPr>
            <w:r>
              <w:rPr>
                <w:rFonts w:hint="default"/>
                <w:lang w:val="en-US" w:eastAsia="zh-CN"/>
              </w:rPr>
              <w:t>18G×70mm</w:t>
            </w:r>
          </w:p>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p>
        </w:tc>
        <w:tc>
          <w:tcPr>
            <w:tcW w:w="582" w:type="dxa"/>
            <w:noWrap w:val="0"/>
            <w:vAlign w:val="center"/>
          </w:tcPr>
          <w:p>
            <w:pPr>
              <w:keepNext w:val="0"/>
              <w:keepLines w:val="0"/>
              <w:widowControl/>
              <w:suppressLineNumbers w:val="0"/>
              <w:jc w:val="left"/>
              <w:textAlignment w:val="center"/>
              <w:rPr>
                <w:rFonts w:hint="default" w:ascii="宋体" w:hAnsi="宋体" w:cs="宋体"/>
                <w:kern w:val="2"/>
                <w:sz w:val="21"/>
                <w:szCs w:val="21"/>
                <w:vertAlign w:val="baseline"/>
                <w:lang w:val="en-US" w:eastAsia="zh-CN" w:bidi="ar-SA"/>
              </w:rPr>
            </w:pPr>
            <w:r>
              <w:rPr>
                <w:rFonts w:hint="eastAsia" w:ascii="宋体" w:hAnsi="宋体" w:cs="宋体"/>
                <w:kern w:val="2"/>
                <w:sz w:val="21"/>
                <w:szCs w:val="21"/>
                <w:vertAlign w:val="baseline"/>
                <w:lang w:val="en-US" w:eastAsia="zh-CN" w:bidi="ar-SA"/>
              </w:rPr>
              <w:t>个</w:t>
            </w:r>
          </w:p>
        </w:tc>
        <w:tc>
          <w:tcPr>
            <w:tcW w:w="818"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cs="宋体"/>
                <w:kern w:val="2"/>
                <w:sz w:val="21"/>
                <w:szCs w:val="21"/>
                <w:vertAlign w:val="baseline"/>
                <w:lang w:val="en-US" w:eastAsia="zh-CN" w:bidi="ar-SA"/>
              </w:rPr>
              <w:t>2</w:t>
            </w:r>
          </w:p>
        </w:tc>
        <w:tc>
          <w:tcPr>
            <w:tcW w:w="4102" w:type="dxa"/>
            <w:noWrap w:val="0"/>
            <w:vAlign w:val="center"/>
          </w:tcPr>
          <w:p>
            <w:pPr>
              <w:keepNext w:val="0"/>
              <w:keepLines w:val="0"/>
              <w:widowControl/>
              <w:suppressLineNumbers w:val="0"/>
              <w:jc w:val="left"/>
              <w:textAlignment w:val="center"/>
              <w:rPr>
                <w:rFonts w:hint="default"/>
                <w:sz w:val="21"/>
                <w:szCs w:val="21"/>
                <w:vertAlign w:val="baseline"/>
                <w:lang w:val="en-US"/>
              </w:rPr>
            </w:pPr>
            <w:r>
              <w:rPr>
                <w:rFonts w:hint="eastAsia"/>
                <w:lang w:val="en-US" w:eastAsia="zh-CN"/>
              </w:rPr>
              <w:t>用于泪道冲洗，手术清洁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89"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17</w:t>
            </w:r>
          </w:p>
        </w:tc>
        <w:tc>
          <w:tcPr>
            <w:tcW w:w="2133" w:type="dxa"/>
            <w:noWrap w:val="0"/>
            <w:vAlign w:val="center"/>
          </w:tcPr>
          <w:p>
            <w:pPr>
              <w:pStyle w:val="23"/>
              <w:numPr>
                <w:ilvl w:val="0"/>
                <w:numId w:val="0"/>
              </w:numPr>
              <w:ind w:leftChars="0"/>
            </w:pPr>
            <w:r>
              <w:rPr>
                <w:lang w:val="en-US"/>
              </w:rPr>
              <w:t>囊袋张力环</w:t>
            </w:r>
          </w:p>
          <w:p>
            <w:pPr>
              <w:keepNext w:val="0"/>
              <w:keepLines w:val="0"/>
              <w:widowControl/>
              <w:suppressLineNumbers w:val="0"/>
              <w:jc w:val="left"/>
              <w:textAlignment w:val="center"/>
              <w:rPr>
                <w:lang w:val="en-US"/>
              </w:rPr>
            </w:pPr>
          </w:p>
        </w:tc>
        <w:tc>
          <w:tcPr>
            <w:tcW w:w="1734"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cs="宋体"/>
                <w:kern w:val="2"/>
                <w:sz w:val="21"/>
                <w:szCs w:val="21"/>
                <w:vertAlign w:val="baseline"/>
                <w:lang w:val="en-US" w:eastAsia="zh-CN" w:bidi="ar-SA"/>
              </w:rPr>
              <w:t>单环、双环、可调节型</w:t>
            </w:r>
          </w:p>
        </w:tc>
        <w:tc>
          <w:tcPr>
            <w:tcW w:w="582" w:type="dxa"/>
            <w:noWrap w:val="0"/>
            <w:vAlign w:val="center"/>
          </w:tcPr>
          <w:p>
            <w:pPr>
              <w:keepNext w:val="0"/>
              <w:keepLines w:val="0"/>
              <w:widowControl/>
              <w:suppressLineNumbers w:val="0"/>
              <w:jc w:val="left"/>
              <w:textAlignment w:val="center"/>
              <w:rPr>
                <w:rFonts w:hint="default" w:ascii="宋体" w:hAnsi="宋体" w:cs="宋体"/>
                <w:kern w:val="2"/>
                <w:sz w:val="21"/>
                <w:szCs w:val="21"/>
                <w:vertAlign w:val="baseline"/>
                <w:lang w:val="en-US" w:eastAsia="zh-CN" w:bidi="ar-SA"/>
              </w:rPr>
            </w:pPr>
            <w:r>
              <w:rPr>
                <w:rFonts w:hint="eastAsia" w:ascii="宋体" w:hAnsi="宋体" w:cs="宋体"/>
                <w:kern w:val="2"/>
                <w:sz w:val="21"/>
                <w:szCs w:val="21"/>
                <w:vertAlign w:val="baseline"/>
                <w:lang w:val="en-US" w:eastAsia="zh-CN" w:bidi="ar-SA"/>
              </w:rPr>
              <w:t>个</w:t>
            </w:r>
          </w:p>
        </w:tc>
        <w:tc>
          <w:tcPr>
            <w:tcW w:w="818" w:type="dxa"/>
            <w:noWrap w:val="0"/>
            <w:vAlign w:val="center"/>
          </w:tcPr>
          <w:p>
            <w:pPr>
              <w:keepNext w:val="0"/>
              <w:keepLines w:val="0"/>
              <w:widowControl/>
              <w:suppressLineNumbers w:val="0"/>
              <w:jc w:val="left"/>
              <w:textAlignment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1500</w:t>
            </w:r>
          </w:p>
        </w:tc>
        <w:tc>
          <w:tcPr>
            <w:tcW w:w="4102" w:type="dxa"/>
            <w:noWrap w:val="0"/>
            <w:vAlign w:val="center"/>
          </w:tcPr>
          <w:p>
            <w:pPr>
              <w:keepNext w:val="0"/>
              <w:keepLines w:val="0"/>
              <w:widowControl/>
              <w:numPr>
                <w:ilvl w:val="0"/>
                <w:numId w:val="3"/>
              </w:numPr>
              <w:suppressLineNumbers w:val="0"/>
              <w:jc w:val="left"/>
              <w:textAlignment w:val="center"/>
              <w:rPr>
                <w:rFonts w:hint="eastAsia"/>
                <w:lang w:val="en-US" w:eastAsia="zh-CN"/>
              </w:rPr>
            </w:pPr>
            <w:r>
              <w:rPr>
                <w:rFonts w:hint="eastAsia"/>
                <w:lang w:val="en-US" w:eastAsia="zh-CN"/>
              </w:rPr>
              <w:t>眼部手术的辅助工具，主要用于眼袋手术中的眼袋切除和修复。眼袋张力环的主要作用是提供张力和支撑</w:t>
            </w:r>
          </w:p>
          <w:p>
            <w:pPr>
              <w:keepNext w:val="0"/>
              <w:keepLines w:val="0"/>
              <w:widowControl/>
              <w:numPr>
                <w:ilvl w:val="0"/>
                <w:numId w:val="3"/>
              </w:numPr>
              <w:suppressLineNumbers w:val="0"/>
              <w:jc w:val="left"/>
              <w:textAlignment w:val="center"/>
              <w:rPr>
                <w:rFonts w:hint="eastAsia"/>
                <w:lang w:val="en-US" w:eastAsia="zh-CN"/>
              </w:rPr>
            </w:pPr>
            <w:r>
              <w:rPr>
                <w:rFonts w:hint="eastAsia"/>
                <w:lang w:val="en-US" w:eastAsia="zh-CN"/>
              </w:rPr>
              <w:t>具有良好的柔韧性和可调节性，它由柔软的材料制成，可以根据手术需要进行调整，适应不同的眼袋形态和大小。同时，它还具有良好的张力，可以提供稳定的支撑，确保手术过程中的准确性和安全性。</w:t>
            </w:r>
          </w:p>
          <w:p>
            <w:pPr>
              <w:keepNext w:val="0"/>
              <w:keepLines w:val="0"/>
              <w:widowControl/>
              <w:numPr>
                <w:ilvl w:val="0"/>
                <w:numId w:val="3"/>
              </w:numPr>
              <w:suppressLineNumbers w:val="0"/>
              <w:jc w:val="left"/>
              <w:textAlignment w:val="center"/>
              <w:rPr>
                <w:rFonts w:hint="eastAsia"/>
                <w:lang w:val="en-US" w:eastAsia="zh-CN"/>
              </w:rPr>
            </w:pPr>
            <w:r>
              <w:rPr>
                <w:rFonts w:hint="eastAsia"/>
                <w:lang w:val="en-US" w:eastAsia="zh-CN"/>
              </w:rPr>
              <w:t>眼袋张力环通常由两个主要部分组成：环状结构和调节装置。环状结构是眼袋张力环的主体部分，它可以固定在眼袋周围，提供稳定的张力和支撑。调节装置则用于调整张力环的大小和张力，以适应不同的手术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689"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w:t>
            </w:r>
          </w:p>
        </w:tc>
        <w:tc>
          <w:tcPr>
            <w:tcW w:w="2133" w:type="dxa"/>
            <w:noWrap w:val="0"/>
            <w:vAlign w:val="center"/>
          </w:tcPr>
          <w:p>
            <w:pPr>
              <w:keepNext w:val="0"/>
              <w:keepLines w:val="0"/>
              <w:widowControl/>
              <w:suppressLineNumbers w:val="0"/>
              <w:jc w:val="left"/>
              <w:textAlignment w:val="center"/>
              <w:rPr>
                <w:rFonts w:hint="default" w:eastAsia="宋体"/>
                <w:lang w:val="en-US" w:eastAsia="zh-CN"/>
              </w:rPr>
            </w:pPr>
            <w:r>
              <w:rPr>
                <w:rFonts w:hint="eastAsia"/>
                <w:lang w:val="en-US" w:eastAsia="zh-CN"/>
              </w:rPr>
              <w:t>眼科手术刀片</w:t>
            </w:r>
          </w:p>
        </w:tc>
        <w:tc>
          <w:tcPr>
            <w:tcW w:w="1734" w:type="dxa"/>
            <w:noWrap w:val="0"/>
            <w:vAlign w:val="center"/>
          </w:tcPr>
          <w:p>
            <w:pPr>
              <w:pStyle w:val="23"/>
              <w:numPr>
                <w:ilvl w:val="0"/>
                <w:numId w:val="0"/>
              </w:numPr>
              <w:ind w:leftChars="0"/>
              <w:rPr>
                <w:color w:val="auto"/>
                <w:lang w:val="en-US"/>
              </w:rPr>
            </w:pPr>
          </w:p>
          <w:p>
            <w:pPr>
              <w:pStyle w:val="23"/>
              <w:numPr>
                <w:ilvl w:val="0"/>
                <w:numId w:val="0"/>
              </w:numPr>
              <w:ind w:leftChars="0"/>
              <w:rPr>
                <w:color w:val="auto"/>
              </w:rPr>
            </w:pPr>
            <w:r>
              <w:rPr>
                <w:color w:val="auto"/>
                <w:lang w:val="en-US"/>
              </w:rPr>
              <w:t>15°</w:t>
            </w:r>
            <w:r>
              <w:rPr>
                <w:rFonts w:hint="eastAsia"/>
                <w:color w:val="auto"/>
                <w:lang w:eastAsia="zh-CN"/>
              </w:rPr>
              <w:t>隧道刀</w:t>
            </w:r>
          </w:p>
          <w:p>
            <w:pPr>
              <w:pStyle w:val="23"/>
              <w:numPr>
                <w:ilvl w:val="0"/>
                <w:numId w:val="0"/>
              </w:numPr>
              <w:ind w:leftChars="0"/>
              <w:rPr>
                <w:color w:val="auto"/>
              </w:rPr>
            </w:pPr>
            <w:r>
              <w:rPr>
                <w:rFonts w:hint="eastAsia"/>
                <w:color w:val="auto"/>
                <w:lang w:eastAsia="zh-CN"/>
              </w:rPr>
              <w:t>30隧道刀</w:t>
            </w:r>
          </w:p>
          <w:p>
            <w:pPr>
              <w:keepNext w:val="0"/>
              <w:keepLines w:val="0"/>
              <w:widowControl/>
              <w:suppressLineNumbers w:val="0"/>
              <w:jc w:val="left"/>
              <w:textAlignment w:val="center"/>
              <w:rPr>
                <w:rFonts w:hint="eastAsia" w:ascii="宋体" w:hAnsi="宋体" w:cs="宋体"/>
                <w:kern w:val="2"/>
                <w:sz w:val="21"/>
                <w:szCs w:val="21"/>
                <w:vertAlign w:val="baseline"/>
                <w:lang w:val="en-US" w:eastAsia="zh-CN" w:bidi="ar-SA"/>
              </w:rPr>
            </w:pPr>
          </w:p>
        </w:tc>
        <w:tc>
          <w:tcPr>
            <w:tcW w:w="582" w:type="dxa"/>
            <w:noWrap w:val="0"/>
            <w:vAlign w:val="center"/>
          </w:tcPr>
          <w:p>
            <w:pPr>
              <w:keepNext w:val="0"/>
              <w:keepLines w:val="0"/>
              <w:widowControl/>
              <w:suppressLineNumbers w:val="0"/>
              <w:jc w:val="left"/>
              <w:textAlignment w:val="center"/>
              <w:rPr>
                <w:rFonts w:hint="default" w:ascii="宋体" w:hAnsi="宋体" w:cs="宋体"/>
                <w:kern w:val="2"/>
                <w:sz w:val="21"/>
                <w:szCs w:val="21"/>
                <w:vertAlign w:val="baseline"/>
                <w:lang w:val="en-US" w:eastAsia="zh-CN" w:bidi="ar-SA"/>
              </w:rPr>
            </w:pPr>
            <w:r>
              <w:rPr>
                <w:rFonts w:hint="eastAsia" w:ascii="宋体" w:hAnsi="宋体" w:cs="宋体"/>
                <w:kern w:val="2"/>
                <w:sz w:val="21"/>
                <w:szCs w:val="21"/>
                <w:vertAlign w:val="baseline"/>
                <w:lang w:val="en-US" w:eastAsia="zh-CN" w:bidi="ar-SA"/>
              </w:rPr>
              <w:t>个</w:t>
            </w:r>
          </w:p>
        </w:tc>
        <w:tc>
          <w:tcPr>
            <w:tcW w:w="818"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cs="宋体"/>
                <w:kern w:val="2"/>
                <w:sz w:val="21"/>
                <w:szCs w:val="21"/>
                <w:vertAlign w:val="baseline"/>
                <w:lang w:val="en-US" w:eastAsia="zh-CN" w:bidi="ar-SA"/>
              </w:rPr>
              <w:t>95</w:t>
            </w:r>
          </w:p>
        </w:tc>
        <w:tc>
          <w:tcPr>
            <w:tcW w:w="4102" w:type="dxa"/>
            <w:noWrap w:val="0"/>
            <w:vAlign w:val="center"/>
          </w:tcPr>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用于眼科手术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689"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19</w:t>
            </w:r>
          </w:p>
        </w:tc>
        <w:tc>
          <w:tcPr>
            <w:tcW w:w="2133" w:type="dxa"/>
            <w:noWrap w:val="0"/>
            <w:vAlign w:val="center"/>
          </w:tcPr>
          <w:p>
            <w:pPr>
              <w:pStyle w:val="23"/>
              <w:numPr>
                <w:ilvl w:val="0"/>
                <w:numId w:val="0"/>
              </w:numPr>
              <w:ind w:leftChars="0"/>
            </w:pPr>
            <w:r>
              <w:rPr>
                <w:lang w:val="en-US"/>
              </w:rPr>
              <w:t>超乳头袖套原装</w:t>
            </w:r>
          </w:p>
          <w:p>
            <w:pPr>
              <w:keepNext w:val="0"/>
              <w:keepLines w:val="0"/>
              <w:widowControl/>
              <w:suppressLineNumbers w:val="0"/>
              <w:jc w:val="left"/>
              <w:textAlignment w:val="center"/>
              <w:rPr>
                <w:rFonts w:hint="eastAsia"/>
                <w:lang w:val="en-US" w:eastAsia="zh-CN"/>
              </w:rPr>
            </w:pPr>
          </w:p>
        </w:tc>
        <w:tc>
          <w:tcPr>
            <w:tcW w:w="1734" w:type="dxa"/>
            <w:noWrap w:val="0"/>
            <w:vAlign w:val="center"/>
          </w:tcPr>
          <w:p>
            <w:pPr>
              <w:pStyle w:val="23"/>
              <w:numPr>
                <w:ilvl w:val="0"/>
                <w:numId w:val="0"/>
              </w:numPr>
              <w:rPr>
                <w:rFonts w:hint="eastAsia"/>
                <w:lang w:val="en-US" w:eastAsia="zh-CN"/>
              </w:rPr>
            </w:pPr>
            <w:r>
              <w:rPr>
                <w:rFonts w:hint="eastAsia"/>
                <w:lang w:eastAsia="zh-CN"/>
              </w:rPr>
              <w:t>规格：紫色超乳袖套 紫色</w:t>
            </w:r>
            <w:r>
              <w:rPr>
                <w:rFonts w:hint="default"/>
                <w:lang w:val="en-US" w:eastAsia="zh-CN"/>
              </w:rPr>
              <w:t>IA</w:t>
            </w:r>
            <w:r>
              <w:rPr>
                <w:rFonts w:hint="eastAsia"/>
                <w:lang w:val="en-US" w:eastAsia="zh-CN"/>
              </w:rPr>
              <w:t>袖套</w:t>
            </w:r>
          </w:p>
          <w:p>
            <w:pPr>
              <w:keepNext w:val="0"/>
              <w:keepLines w:val="0"/>
              <w:widowControl/>
              <w:suppressLineNumbers w:val="0"/>
              <w:jc w:val="left"/>
              <w:textAlignment w:val="center"/>
              <w:rPr>
                <w:rFonts w:hint="eastAsia" w:ascii="宋体" w:hAnsi="宋体" w:cs="宋体"/>
                <w:kern w:val="2"/>
                <w:sz w:val="21"/>
                <w:szCs w:val="21"/>
                <w:vertAlign w:val="baseline"/>
                <w:lang w:val="en-US" w:eastAsia="zh-CN" w:bidi="ar-SA"/>
              </w:rPr>
            </w:pPr>
          </w:p>
        </w:tc>
        <w:tc>
          <w:tcPr>
            <w:tcW w:w="582" w:type="dxa"/>
            <w:noWrap w:val="0"/>
            <w:vAlign w:val="center"/>
          </w:tcPr>
          <w:p>
            <w:pPr>
              <w:keepNext w:val="0"/>
              <w:keepLines w:val="0"/>
              <w:widowControl/>
              <w:suppressLineNumbers w:val="0"/>
              <w:jc w:val="left"/>
              <w:textAlignment w:val="center"/>
              <w:rPr>
                <w:rFonts w:hint="default" w:ascii="宋体" w:hAnsi="宋体" w:cs="宋体"/>
                <w:kern w:val="2"/>
                <w:sz w:val="21"/>
                <w:szCs w:val="21"/>
                <w:vertAlign w:val="baseline"/>
                <w:lang w:val="en-US" w:eastAsia="zh-CN" w:bidi="ar-SA"/>
              </w:rPr>
            </w:pPr>
            <w:r>
              <w:rPr>
                <w:rFonts w:hint="eastAsia" w:ascii="宋体" w:hAnsi="宋体" w:cs="宋体"/>
                <w:kern w:val="2"/>
                <w:sz w:val="21"/>
                <w:szCs w:val="21"/>
                <w:vertAlign w:val="baseline"/>
                <w:lang w:val="en-US" w:eastAsia="zh-CN" w:bidi="ar-SA"/>
              </w:rPr>
              <w:t>套</w:t>
            </w:r>
          </w:p>
        </w:tc>
        <w:tc>
          <w:tcPr>
            <w:tcW w:w="818"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cs="宋体"/>
                <w:kern w:val="2"/>
                <w:sz w:val="21"/>
                <w:szCs w:val="21"/>
                <w:vertAlign w:val="baseline"/>
                <w:lang w:val="en-US" w:eastAsia="zh-CN" w:bidi="ar-SA"/>
              </w:rPr>
              <w:t>490</w:t>
            </w:r>
          </w:p>
        </w:tc>
        <w:tc>
          <w:tcPr>
            <w:tcW w:w="4102" w:type="dxa"/>
            <w:noWrap w:val="0"/>
            <w:vAlign w:val="center"/>
          </w:tcPr>
          <w:p>
            <w:pPr>
              <w:pStyle w:val="23"/>
              <w:numPr>
                <w:ilvl w:val="0"/>
                <w:numId w:val="0"/>
              </w:numPr>
            </w:pPr>
            <w:r>
              <w:rPr>
                <w:rFonts w:hint="eastAsia"/>
                <w:lang w:val="en-US" w:eastAsia="zh-CN"/>
              </w:rPr>
              <w:t>超乳设备使用</w:t>
            </w:r>
          </w:p>
          <w:p>
            <w:pPr>
              <w:keepNext w:val="0"/>
              <w:keepLines w:val="0"/>
              <w:widowControl/>
              <w:numPr>
                <w:ilvl w:val="0"/>
                <w:numId w:val="0"/>
              </w:numPr>
              <w:suppressLineNumbers w:val="0"/>
              <w:jc w:val="left"/>
              <w:textAlignment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89"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w:t>
            </w:r>
          </w:p>
        </w:tc>
        <w:tc>
          <w:tcPr>
            <w:tcW w:w="2133" w:type="dxa"/>
            <w:noWrap w:val="0"/>
            <w:vAlign w:val="center"/>
          </w:tcPr>
          <w:p>
            <w:pPr>
              <w:pStyle w:val="23"/>
              <w:numPr>
                <w:ilvl w:val="0"/>
                <w:numId w:val="0"/>
              </w:numPr>
              <w:ind w:leftChars="0"/>
            </w:pPr>
            <w:r>
              <w:rPr>
                <w:lang w:val="en-US"/>
              </w:rPr>
              <w:t>羟基磷灰石义眼台</w:t>
            </w:r>
          </w:p>
          <w:p>
            <w:pPr>
              <w:keepNext w:val="0"/>
              <w:keepLines w:val="0"/>
              <w:widowControl/>
              <w:suppressLineNumbers w:val="0"/>
              <w:jc w:val="left"/>
              <w:textAlignment w:val="center"/>
              <w:rPr>
                <w:rFonts w:hint="eastAsia"/>
                <w:lang w:val="en-US" w:eastAsia="zh-CN"/>
              </w:rPr>
            </w:pPr>
          </w:p>
        </w:tc>
        <w:tc>
          <w:tcPr>
            <w:tcW w:w="1734" w:type="dxa"/>
            <w:noWrap w:val="0"/>
            <w:vAlign w:val="center"/>
          </w:tcPr>
          <w:p>
            <w:pPr>
              <w:pStyle w:val="23"/>
              <w:numPr>
                <w:ilvl w:val="0"/>
                <w:numId w:val="0"/>
              </w:numPr>
            </w:pPr>
            <w:r>
              <w:rPr>
                <w:lang w:val="en-US"/>
              </w:rPr>
              <w:t>规格:18-22mm</w:t>
            </w:r>
          </w:p>
          <w:p>
            <w:pPr>
              <w:keepNext w:val="0"/>
              <w:keepLines w:val="0"/>
              <w:widowControl/>
              <w:suppressLineNumbers w:val="0"/>
              <w:ind w:firstLine="420" w:firstLineChars="200"/>
              <w:jc w:val="left"/>
              <w:textAlignment w:val="center"/>
              <w:rPr>
                <w:rFonts w:hint="eastAsia" w:ascii="宋体" w:hAnsi="宋体" w:cs="宋体"/>
                <w:kern w:val="2"/>
                <w:sz w:val="21"/>
                <w:szCs w:val="21"/>
                <w:vertAlign w:val="baseline"/>
                <w:lang w:val="en-US" w:eastAsia="zh-CN" w:bidi="ar-SA"/>
              </w:rPr>
            </w:pPr>
            <w:r>
              <w:rPr>
                <w:rFonts w:hint="eastAsia"/>
                <w:lang w:val="en-US" w:eastAsia="zh-CN"/>
              </w:rPr>
              <w:t>22</w:t>
            </w:r>
            <w:r>
              <w:rPr>
                <w:lang w:val="en-US"/>
              </w:rPr>
              <w:t>-2</w:t>
            </w:r>
            <w:r>
              <w:rPr>
                <w:rFonts w:hint="eastAsia"/>
                <w:lang w:val="en-US" w:eastAsia="zh-CN"/>
              </w:rPr>
              <w:t>4</w:t>
            </w:r>
            <w:r>
              <w:rPr>
                <w:lang w:val="en-US"/>
              </w:rPr>
              <w:t>mm</w:t>
            </w:r>
          </w:p>
        </w:tc>
        <w:tc>
          <w:tcPr>
            <w:tcW w:w="582" w:type="dxa"/>
            <w:noWrap w:val="0"/>
            <w:vAlign w:val="center"/>
          </w:tcPr>
          <w:p>
            <w:pPr>
              <w:keepNext w:val="0"/>
              <w:keepLines w:val="0"/>
              <w:widowControl/>
              <w:suppressLineNumbers w:val="0"/>
              <w:jc w:val="left"/>
              <w:textAlignment w:val="center"/>
              <w:rPr>
                <w:rFonts w:hint="default" w:ascii="宋体" w:hAnsi="宋体" w:cs="宋体"/>
                <w:kern w:val="2"/>
                <w:sz w:val="21"/>
                <w:szCs w:val="21"/>
                <w:vertAlign w:val="baseline"/>
                <w:lang w:val="en-US" w:eastAsia="zh-CN" w:bidi="ar-SA"/>
              </w:rPr>
            </w:pPr>
            <w:r>
              <w:rPr>
                <w:rFonts w:hint="eastAsia" w:ascii="宋体" w:hAnsi="宋体" w:cs="宋体"/>
                <w:kern w:val="2"/>
                <w:sz w:val="21"/>
                <w:szCs w:val="21"/>
                <w:vertAlign w:val="baseline"/>
                <w:lang w:val="en-US" w:eastAsia="zh-CN" w:bidi="ar-SA"/>
              </w:rPr>
              <w:t>个</w:t>
            </w:r>
          </w:p>
        </w:tc>
        <w:tc>
          <w:tcPr>
            <w:tcW w:w="818" w:type="dxa"/>
            <w:noWrap w:val="0"/>
            <w:vAlign w:val="center"/>
          </w:tcPr>
          <w:p>
            <w:pPr>
              <w:keepNext w:val="0"/>
              <w:keepLines w:val="0"/>
              <w:widowControl/>
              <w:suppressLineNumbers w:val="0"/>
              <w:jc w:val="left"/>
              <w:textAlignment w:val="center"/>
              <w:rPr>
                <w:rFonts w:hint="default" w:ascii="宋体" w:hAnsi="宋体" w:eastAsia="宋体" w:cs="宋体"/>
                <w:kern w:val="2"/>
                <w:sz w:val="21"/>
                <w:szCs w:val="21"/>
                <w:vertAlign w:val="baseline"/>
                <w:lang w:val="en-US" w:eastAsia="zh-CN" w:bidi="ar-SA"/>
              </w:rPr>
            </w:pPr>
            <w:r>
              <w:rPr>
                <w:rFonts w:hint="eastAsia" w:ascii="宋体" w:hAnsi="宋体" w:cs="宋体"/>
                <w:kern w:val="2"/>
                <w:sz w:val="21"/>
                <w:szCs w:val="21"/>
                <w:vertAlign w:val="baseline"/>
                <w:lang w:val="en-US" w:eastAsia="zh-CN" w:bidi="ar-SA"/>
              </w:rPr>
              <w:t>4500</w:t>
            </w:r>
          </w:p>
        </w:tc>
        <w:tc>
          <w:tcPr>
            <w:tcW w:w="4102" w:type="dxa"/>
            <w:noWrap w:val="0"/>
            <w:vAlign w:val="center"/>
          </w:tcPr>
          <w:p>
            <w:pPr>
              <w:keepNext w:val="0"/>
              <w:keepLines w:val="0"/>
              <w:widowControl/>
              <w:numPr>
                <w:ilvl w:val="0"/>
                <w:numId w:val="0"/>
              </w:numPr>
              <w:suppressLineNumbers w:val="0"/>
              <w:jc w:val="left"/>
              <w:textAlignment w:val="center"/>
              <w:rPr>
                <w:rFonts w:hint="eastAsia"/>
                <w:lang w:val="en-US" w:eastAsia="zh-CN"/>
              </w:rPr>
            </w:pPr>
            <w:r>
              <w:rPr>
                <w:lang w:val="en-US"/>
              </w:rPr>
              <w:t>为眼球摘除后整形修复用的替代植入体，填补眼窝凹陷</w:t>
            </w:r>
          </w:p>
        </w:tc>
      </w:tr>
    </w:tbl>
    <w:p>
      <w:pPr>
        <w:pStyle w:val="2"/>
        <w:rPr>
          <w:rFonts w:hint="eastAsia"/>
          <w:lang w:val="en-US" w:eastAsia="zh-CN"/>
        </w:rPr>
      </w:pPr>
    </w:p>
    <w:p>
      <w:pPr>
        <w:numPr>
          <w:ilvl w:val="0"/>
          <w:numId w:val="0"/>
        </w:numPr>
        <w:adjustRightInd w:val="0"/>
        <w:snapToGrid w:val="0"/>
        <w:spacing w:line="440" w:lineRule="exact"/>
        <w:jc w:val="both"/>
        <w:rPr>
          <w:rFonts w:hint="eastAsia" w:ascii="宋体" w:hAnsi="宋体" w:eastAsia="宋体" w:cs="Times New Roman"/>
          <w:b/>
          <w:bCs/>
          <w:color w:val="000000"/>
          <w:sz w:val="24"/>
          <w:lang w:val="en-US" w:eastAsia="zh-CN"/>
        </w:rPr>
      </w:pPr>
      <w:r>
        <w:rPr>
          <w:rFonts w:hint="eastAsia" w:ascii="宋体" w:hAnsi="宋体" w:eastAsia="宋体" w:cs="Times New Roman"/>
          <w:b/>
          <w:bCs/>
          <w:color w:val="000000"/>
          <w:sz w:val="24"/>
          <w:lang w:val="en-US" w:eastAsia="zh-CN"/>
        </w:rPr>
        <w:br w:type="page"/>
      </w:r>
      <w:r>
        <w:rPr>
          <w:rFonts w:hint="eastAsia" w:ascii="宋体" w:hAnsi="宋体" w:eastAsia="宋体" w:cs="Times New Roman"/>
          <w:b/>
          <w:bCs/>
          <w:color w:val="000000"/>
          <w:sz w:val="24"/>
          <w:lang w:val="en-US" w:eastAsia="zh-CN"/>
        </w:rPr>
        <w:t xml:space="preserve"> 05包：康复科耗材</w:t>
      </w:r>
    </w:p>
    <w:p>
      <w:pPr>
        <w:pStyle w:val="2"/>
        <w:ind w:left="0" w:leftChars="0" w:firstLine="0" w:firstLineChars="0"/>
        <w:rPr>
          <w:rFonts w:hint="eastAsia" w:ascii="宋体" w:hAnsi="宋体" w:eastAsia="宋体" w:cs="Times New Roman"/>
          <w:b/>
          <w:bCs/>
          <w:color w:val="000000"/>
          <w:sz w:val="24"/>
          <w:lang w:val="en-US" w:eastAsia="zh-CN"/>
        </w:rPr>
      </w:pPr>
      <w:r>
        <w:rPr>
          <w:rFonts w:hint="eastAsia" w:ascii="宋体" w:hAnsi="宋体" w:eastAsia="宋体" w:cs="Times New Roman"/>
          <w:b/>
          <w:bCs/>
          <w:color w:val="000000"/>
          <w:sz w:val="24"/>
          <w:lang w:val="en-US" w:eastAsia="zh-CN"/>
        </w:rPr>
        <w:t>预算金额：5万元/年</w:t>
      </w:r>
    </w:p>
    <w:tbl>
      <w:tblPr>
        <w:tblStyle w:val="14"/>
        <w:tblW w:w="978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19"/>
        <w:gridCol w:w="1224"/>
        <w:gridCol w:w="3021"/>
        <w:gridCol w:w="891"/>
        <w:gridCol w:w="3024"/>
        <w:gridCol w:w="10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2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产品名称</w:t>
            </w:r>
          </w:p>
        </w:tc>
        <w:tc>
          <w:tcPr>
            <w:tcW w:w="30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规格型号</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30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用途</w:t>
            </w:r>
          </w:p>
        </w:tc>
        <w:tc>
          <w:tcPr>
            <w:tcW w:w="10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价格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2" w:hRule="atLeast"/>
        </w:trPr>
        <w:tc>
          <w:tcPr>
            <w:tcW w:w="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eastAsia="宋体"/>
                <w:sz w:val="21"/>
                <w:szCs w:val="21"/>
                <w:vertAlign w:val="baseline"/>
                <w:lang w:val="en-US" w:eastAsia="zh-CN"/>
              </w:rPr>
              <w:t>★</w:t>
            </w:r>
            <w:r>
              <w:rPr>
                <w:rFonts w:hint="eastAsia" w:ascii="宋体" w:hAnsi="宋体" w:eastAsia="宋体" w:cs="宋体"/>
                <w:i w:val="0"/>
                <w:iCs w:val="0"/>
                <w:color w:val="000000"/>
                <w:kern w:val="0"/>
                <w:sz w:val="21"/>
                <w:szCs w:val="21"/>
                <w:u w:val="none"/>
                <w:lang w:val="en-US" w:eastAsia="zh-CN" w:bidi="ar"/>
              </w:rPr>
              <w:t>1</w:t>
            </w:r>
          </w:p>
        </w:tc>
        <w:tc>
          <w:tcPr>
            <w:tcW w:w="1224" w:type="dxa"/>
            <w:tcBorders>
              <w:top w:val="nil"/>
              <w:left w:val="nil"/>
              <w:bottom w:val="nil"/>
              <w:right w:val="nil"/>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一次性使用埋线针</w:t>
            </w:r>
          </w:p>
        </w:tc>
        <w:tc>
          <w:tcPr>
            <w:tcW w:w="30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依据针管的公称外径划分，分为0.6、0.7、0.8、0.9、1.2、1.6六种规格</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w:t>
            </w:r>
          </w:p>
        </w:tc>
        <w:tc>
          <w:tcPr>
            <w:tcW w:w="30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用于穴位的穿刺埋线</w:t>
            </w:r>
          </w:p>
        </w:tc>
        <w:tc>
          <w:tcPr>
            <w:tcW w:w="10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3.8元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0" w:hRule="atLeast"/>
        </w:trPr>
        <w:tc>
          <w:tcPr>
            <w:tcW w:w="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2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小针刀</w:t>
            </w:r>
          </w:p>
        </w:tc>
        <w:tc>
          <w:tcPr>
            <w:tcW w:w="3021" w:type="dxa"/>
            <w:tcBorders>
              <w:top w:val="nil"/>
              <w:left w:val="nil"/>
              <w:bottom w:val="nil"/>
              <w:right w:val="nil"/>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小针刀分为灭菌型和非灭菌型两种型号，</w:t>
            </w:r>
            <w:r>
              <w:rPr>
                <w:rStyle w:val="35"/>
                <w:rFonts w:hint="eastAsia" w:ascii="宋体" w:hAnsi="宋体" w:eastAsia="宋体" w:cs="宋体"/>
                <w:sz w:val="21"/>
                <w:szCs w:val="21"/>
                <w:lang w:val="en-US" w:eastAsia="zh-CN" w:bidi="ar"/>
              </w:rPr>
              <w:t>分为0.35*40mm、0.35*50mm、0.4*40mm、0.4*50mm、0.5*50mm、0.5*75mm、 0.6*50mm、0.6*75mm、0.8*50mm、0.8*80mm、1.0*50mm、1.0*65mm。</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把</w:t>
            </w:r>
          </w:p>
        </w:tc>
        <w:tc>
          <w:tcPr>
            <w:tcW w:w="30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临床小针刀疗法使用</w:t>
            </w:r>
          </w:p>
        </w:tc>
        <w:tc>
          <w:tcPr>
            <w:tcW w:w="10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3" w:hRule="atLeast"/>
        </w:trPr>
        <w:tc>
          <w:tcPr>
            <w:tcW w:w="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lang w:val="en-US" w:eastAsia="zh-CN"/>
              </w:rPr>
            </w:pPr>
            <w:r>
              <w:rPr>
                <w:rFonts w:hint="eastAsia" w:ascii="宋体" w:hAnsi="宋体" w:eastAsia="宋体" w:cs="宋体"/>
                <w:i w:val="0"/>
                <w:iCs w:val="0"/>
                <w:color w:val="auto"/>
                <w:sz w:val="21"/>
                <w:szCs w:val="21"/>
                <w:highlight w:val="none"/>
                <w:u w:val="none"/>
                <w:lang w:val="en-US" w:eastAsia="zh-CN"/>
              </w:rPr>
              <w:t>3</w:t>
            </w:r>
          </w:p>
        </w:tc>
        <w:tc>
          <w:tcPr>
            <w:tcW w:w="12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理疗电极片</w:t>
            </w:r>
          </w:p>
        </w:tc>
        <w:tc>
          <w:tcPr>
            <w:tcW w:w="30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无纺布、碳膜、凝胶、连接件组成，</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规格：60*90、80*130、70*120、70*100。</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片</w:t>
            </w:r>
          </w:p>
        </w:tc>
        <w:tc>
          <w:tcPr>
            <w:tcW w:w="30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与中低频理疗仪配套使用，用于传导仪器的电脉冲信号。</w:t>
            </w:r>
          </w:p>
        </w:tc>
        <w:tc>
          <w:tcPr>
            <w:tcW w:w="10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5.4元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3" w:hRule="atLeast"/>
        </w:trPr>
        <w:tc>
          <w:tcPr>
            <w:tcW w:w="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eastAsia="宋体"/>
                <w:sz w:val="21"/>
                <w:szCs w:val="21"/>
                <w:vertAlign w:val="baseline"/>
                <w:lang w:val="en-US" w:eastAsia="zh-CN"/>
              </w:rPr>
              <w:t>★</w:t>
            </w:r>
            <w:r>
              <w:rPr>
                <w:rFonts w:hint="eastAsia" w:ascii="宋体" w:hAnsi="宋体" w:eastAsia="宋体" w:cs="宋体"/>
                <w:i w:val="0"/>
                <w:iCs w:val="0"/>
                <w:color w:val="000000"/>
                <w:sz w:val="21"/>
                <w:szCs w:val="21"/>
                <w:u w:val="none"/>
                <w:lang w:val="en-US" w:eastAsia="zh-CN"/>
              </w:rPr>
              <w:t>4</w:t>
            </w:r>
          </w:p>
        </w:tc>
        <w:tc>
          <w:tcPr>
            <w:tcW w:w="12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远红外活络止痛贴</w:t>
            </w:r>
          </w:p>
        </w:tc>
        <w:tc>
          <w:tcPr>
            <w:tcW w:w="30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70mm*100mm</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盒</w:t>
            </w:r>
          </w:p>
        </w:tc>
        <w:tc>
          <w:tcPr>
            <w:tcW w:w="30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用于急慢性软组织损伤所致的关节肿痛、陈旧性伤痛或骨折康复的辅助治疗</w:t>
            </w:r>
          </w:p>
        </w:tc>
        <w:tc>
          <w:tcPr>
            <w:tcW w:w="10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48元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trPr>
        <w:tc>
          <w:tcPr>
            <w:tcW w:w="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w:t>
            </w:r>
          </w:p>
        </w:tc>
        <w:tc>
          <w:tcPr>
            <w:tcW w:w="12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热磁理疗贴</w:t>
            </w:r>
          </w:p>
        </w:tc>
        <w:tc>
          <w:tcPr>
            <w:tcW w:w="30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80mm*90mm</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贴</w:t>
            </w:r>
          </w:p>
        </w:tc>
        <w:tc>
          <w:tcPr>
            <w:tcW w:w="30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穴位封堵、隔物灸</w:t>
            </w:r>
          </w:p>
        </w:tc>
        <w:tc>
          <w:tcPr>
            <w:tcW w:w="10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15.7元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eastAsia="宋体"/>
                <w:sz w:val="21"/>
                <w:szCs w:val="21"/>
                <w:vertAlign w:val="baseline"/>
                <w:lang w:val="en-US" w:eastAsia="zh-CN"/>
              </w:rPr>
              <w:t>★</w:t>
            </w:r>
            <w:r>
              <w:rPr>
                <w:rFonts w:hint="eastAsia" w:ascii="宋体" w:hAnsi="宋体" w:eastAsia="宋体" w:cs="宋体"/>
                <w:i w:val="0"/>
                <w:iCs w:val="0"/>
                <w:color w:val="000000"/>
                <w:sz w:val="21"/>
                <w:szCs w:val="21"/>
                <w:u w:val="none"/>
                <w:lang w:val="en-US" w:eastAsia="zh-CN"/>
              </w:rPr>
              <w:t>6</w:t>
            </w:r>
          </w:p>
        </w:tc>
        <w:tc>
          <w:tcPr>
            <w:tcW w:w="12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color w:val="000000"/>
                <w:sz w:val="21"/>
                <w:szCs w:val="21"/>
              </w:rPr>
              <w:t>医用一次性针电极</w:t>
            </w:r>
          </w:p>
        </w:tc>
        <w:tc>
          <w:tcPr>
            <w:tcW w:w="30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0.45</w:t>
            </w:r>
          </w:p>
        </w:tc>
        <w:tc>
          <w:tcPr>
            <w:tcW w:w="8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根</w:t>
            </w:r>
          </w:p>
        </w:tc>
        <w:tc>
          <w:tcPr>
            <w:tcW w:w="30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医用针电极用于临床医生对患者进行临床诊断、检查、治疗和手术过程中对人体相应部分的生物电信号（脑电、心电、肌动电流）采集传送到神经监护仪、脑电记录仪（EEG）、心电记录仪（ECG）及肌动电流记录仪（EMG）后进行处理、分析诊断。也可将低频治疗仪发出的低频</w:t>
            </w:r>
          </w:p>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脉冲波送入患者皮肤下，对末梢神经进行刺激，激发和起搏患者麻痹末梢神经的潜能，以判定神经的生理状态。</w:t>
            </w:r>
          </w:p>
        </w:tc>
        <w:tc>
          <w:tcPr>
            <w:tcW w:w="10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48元</w:t>
            </w:r>
          </w:p>
        </w:tc>
      </w:tr>
    </w:tbl>
    <w:p>
      <w:pPr>
        <w:rPr>
          <w:rFonts w:hint="default"/>
          <w:lang w:val="en-US" w:eastAsia="zh-CN"/>
        </w:rPr>
      </w:pPr>
    </w:p>
    <w:p>
      <w:pPr>
        <w:rPr>
          <w:rFonts w:hint="default"/>
          <w:lang w:val="en-US" w:eastAsia="zh-CN"/>
        </w:rPr>
      </w:pPr>
    </w:p>
    <w:p>
      <w:pPr>
        <w:keepNext w:val="0"/>
        <w:keepLines w:val="0"/>
        <w:widowControl/>
        <w:suppressLineNumbers w:val="0"/>
        <w:jc w:val="both"/>
        <w:textAlignment w:val="center"/>
        <w:rPr>
          <w:rFonts w:hint="eastAsia" w:ascii="宋体" w:hAnsi="宋体" w:eastAsia="宋体" w:cs="宋体"/>
          <w:b/>
          <w:bCs/>
          <w:color w:val="000000"/>
          <w:sz w:val="24"/>
          <w:szCs w:val="24"/>
          <w:lang w:val="en-US" w:eastAsia="zh-CN"/>
        </w:rPr>
      </w:pPr>
    </w:p>
    <w:p>
      <w:pPr>
        <w:keepNext w:val="0"/>
        <w:keepLines w:val="0"/>
        <w:widowControl/>
        <w:suppressLineNumbers w:val="0"/>
        <w:jc w:val="both"/>
        <w:textAlignment w:val="center"/>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二、整体要求</w:t>
      </w:r>
    </w:p>
    <w:p>
      <w:pPr>
        <w:spacing w:line="360" w:lineRule="auto"/>
        <w:rPr>
          <w:rFonts w:hint="eastAsia" w:ascii="宋体" w:hAnsi="宋体" w:eastAsia="宋体" w:cs="Times New Roman"/>
          <w:bCs/>
          <w:color w:val="000000"/>
          <w:sz w:val="24"/>
          <w:szCs w:val="24"/>
          <w:lang w:val="en-US" w:eastAsia="zh-CN"/>
        </w:rPr>
      </w:pPr>
      <w:r>
        <w:rPr>
          <w:rFonts w:hint="eastAsia" w:ascii="宋体" w:hAnsi="宋体" w:eastAsia="宋体" w:cs="Times New Roman"/>
          <w:bCs/>
          <w:color w:val="000000"/>
          <w:sz w:val="24"/>
          <w:szCs w:val="24"/>
          <w:lang w:val="en-US" w:eastAsia="zh-CN"/>
        </w:rPr>
        <w:t>1、投标人若为经销商或代理商的，在项目中标后合同签订之前须根据采购人需要提供所投产品完整授权文件交由采购人核验，无法提供产品授权书的，采购人有权取消其中标资格。</w:t>
      </w:r>
    </w:p>
    <w:p>
      <w:pPr>
        <w:spacing w:line="360" w:lineRule="auto"/>
        <w:rPr>
          <w:rFonts w:hint="eastAsia" w:ascii="宋体" w:hAnsi="宋体" w:eastAsia="宋体" w:cs="Times New Roman"/>
          <w:bCs/>
          <w:color w:val="000000"/>
          <w:sz w:val="24"/>
          <w:szCs w:val="24"/>
          <w:lang w:val="en-US" w:eastAsia="zh-CN"/>
        </w:rPr>
      </w:pPr>
      <w:r>
        <w:rPr>
          <w:rFonts w:hint="eastAsia" w:ascii="宋体" w:hAnsi="宋体" w:eastAsia="宋体" w:cs="Times New Roman"/>
          <w:bCs/>
          <w:color w:val="000000"/>
          <w:sz w:val="24"/>
          <w:szCs w:val="24"/>
          <w:lang w:val="en-US" w:eastAsia="zh-CN"/>
        </w:rPr>
        <w:t>2、投标人应仔细阅读招标文件中的所有内容（包括说明、格式、条款和技术要求）。由于对招标文件的理解发生误差，以及没有按招标文件要求提供全部资料或递交没有实质性响应招标文件的投标文件，而造成投标失误，将由投标人承担其风险。</w:t>
      </w:r>
    </w:p>
    <w:p>
      <w:pPr>
        <w:spacing w:line="360" w:lineRule="auto"/>
        <w:rPr>
          <w:rFonts w:hint="default" w:ascii="宋体" w:hAnsi="宋体" w:eastAsia="宋体" w:cs="Times New Roman"/>
          <w:bCs/>
          <w:color w:val="000000"/>
          <w:sz w:val="24"/>
          <w:szCs w:val="24"/>
          <w:lang w:val="en-US" w:eastAsia="zh-CN"/>
        </w:rPr>
      </w:pPr>
      <w:r>
        <w:rPr>
          <w:rFonts w:hint="eastAsia" w:ascii="宋体" w:hAnsi="宋体" w:eastAsia="宋体" w:cs="Times New Roman"/>
          <w:bCs/>
          <w:color w:val="000000"/>
          <w:sz w:val="24"/>
          <w:szCs w:val="24"/>
          <w:lang w:val="en-US" w:eastAsia="zh-CN"/>
        </w:rPr>
        <w:t>3、投标人在获取招标文件后，应仔细阅读招标文件的采购清单、参数等各项条款，如有疑问应在招标</w:t>
      </w:r>
      <w:bookmarkStart w:id="0" w:name="_GoBack"/>
      <w:bookmarkEnd w:id="0"/>
      <w:r>
        <w:rPr>
          <w:rFonts w:hint="eastAsia" w:ascii="宋体" w:hAnsi="宋体" w:eastAsia="宋体" w:cs="Times New Roman"/>
          <w:bCs/>
          <w:color w:val="000000"/>
          <w:sz w:val="24"/>
          <w:szCs w:val="24"/>
          <w:lang w:val="en-US" w:eastAsia="zh-CN"/>
        </w:rPr>
        <w:t xml:space="preserve">文件规定时间前向采购人或采购代理机构提出，如到期未提出的，将被视为认可招标文件的所有内容，采购人将不再接受投标人针对招标文件条款提出的任何疑问。 </w:t>
      </w:r>
    </w:p>
    <w:p>
      <w:pPr>
        <w:spacing w:line="360" w:lineRule="auto"/>
        <w:rPr>
          <w:rFonts w:hint="eastAsia" w:ascii="宋体" w:hAnsi="宋体" w:eastAsia="宋体" w:cs="Times New Roman"/>
          <w:bCs/>
          <w:color w:val="000000"/>
          <w:sz w:val="24"/>
          <w:szCs w:val="24"/>
          <w:lang w:val="en-US" w:eastAsia="zh-CN"/>
        </w:rPr>
      </w:pPr>
      <w:r>
        <w:rPr>
          <w:rFonts w:hint="eastAsia" w:ascii="宋体" w:hAnsi="宋体" w:eastAsia="宋体" w:cs="Times New Roman"/>
          <w:bCs/>
          <w:color w:val="000000"/>
          <w:sz w:val="24"/>
          <w:szCs w:val="24"/>
          <w:lang w:val="en-US" w:eastAsia="zh-CN"/>
        </w:rPr>
        <w:t>4、清单内标星耗材</w:t>
      </w:r>
      <w:r>
        <w:rPr>
          <w:rFonts w:hint="eastAsia" w:ascii="宋体" w:hAnsi="宋体" w:eastAsia="宋体" w:cs="Times New Roman"/>
          <w:b/>
          <w:bCs w:val="0"/>
          <w:color w:val="000000"/>
          <w:sz w:val="24"/>
          <w:szCs w:val="24"/>
          <w:lang w:val="en-US" w:eastAsia="zh-CN"/>
        </w:rPr>
        <w:t>需提供样品</w:t>
      </w:r>
      <w:r>
        <w:rPr>
          <w:rFonts w:hint="eastAsia" w:ascii="宋体" w:hAnsi="宋体" w:eastAsia="宋体" w:cs="Times New Roman"/>
          <w:bCs/>
          <w:color w:val="000000"/>
          <w:sz w:val="24"/>
          <w:szCs w:val="24"/>
          <w:lang w:val="en-US" w:eastAsia="zh-CN"/>
        </w:rPr>
        <w:t>，具体要求详见采购需求。</w:t>
      </w:r>
    </w:p>
    <w:p>
      <w:pPr>
        <w:spacing w:line="360" w:lineRule="auto"/>
        <w:rPr>
          <w:rFonts w:hint="eastAsia" w:ascii="宋体" w:hAnsi="宋体" w:eastAsia="宋体" w:cs="Times New Roman"/>
          <w:bCs/>
          <w:color w:val="000000"/>
          <w:sz w:val="24"/>
          <w:szCs w:val="24"/>
          <w:lang w:val="en-US" w:eastAsia="zh-CN"/>
        </w:rPr>
      </w:pPr>
      <w:r>
        <w:rPr>
          <w:rFonts w:hint="eastAsia" w:ascii="宋体" w:hAnsi="宋体" w:eastAsia="宋体" w:cs="Times New Roman"/>
          <w:bCs/>
          <w:color w:val="000000"/>
          <w:sz w:val="24"/>
          <w:szCs w:val="24"/>
          <w:lang w:val="en-US" w:eastAsia="zh-CN"/>
        </w:rPr>
        <w:t>5、开标现场须提供所投产品的样品，且将样品封装在一个纸箱或档案袋中，并在外包装上贴上投标人名称、样品品名、数量等信息。</w:t>
      </w:r>
    </w:p>
    <w:p>
      <w:pPr>
        <w:spacing w:line="360" w:lineRule="auto"/>
        <w:rPr>
          <w:rFonts w:hint="eastAsia" w:ascii="宋体" w:hAnsi="宋体"/>
          <w:bCs/>
          <w:color w:val="auto"/>
          <w:sz w:val="24"/>
          <w:szCs w:val="24"/>
          <w:highlight w:val="none"/>
          <w:lang w:val="en-US" w:eastAsia="zh-CN"/>
        </w:rPr>
      </w:pPr>
      <w:r>
        <w:rPr>
          <w:rFonts w:hint="eastAsia" w:ascii="宋体" w:hAnsi="宋体" w:eastAsia="宋体"/>
          <w:bCs/>
          <w:color w:val="000000"/>
          <w:sz w:val="24"/>
          <w:szCs w:val="24"/>
          <w:lang w:val="en-US" w:eastAsia="zh-CN"/>
        </w:rPr>
        <w:t>6、</w:t>
      </w:r>
      <w:r>
        <w:rPr>
          <w:rFonts w:hint="eastAsia" w:ascii="宋体" w:hAnsi="宋体"/>
          <w:bCs/>
          <w:color w:val="auto"/>
          <w:sz w:val="24"/>
          <w:szCs w:val="24"/>
          <w:highlight w:val="none"/>
          <w:lang w:val="en-US" w:eastAsia="zh-CN"/>
        </w:rPr>
        <w:t>投标覆盖率100%;</w:t>
      </w:r>
    </w:p>
    <w:p>
      <w:pPr>
        <w:numPr>
          <w:ilvl w:val="0"/>
          <w:numId w:val="0"/>
        </w:numPr>
        <w:spacing w:line="360" w:lineRule="auto"/>
        <w:rPr>
          <w:rFonts w:hint="eastAsia"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7.回款期为6个月，</w:t>
      </w:r>
      <w:r>
        <w:rPr>
          <w:rFonts w:hint="eastAsia" w:ascii="宋体" w:hAnsi="宋体"/>
          <w:bCs/>
          <w:color w:val="auto"/>
          <w:sz w:val="24"/>
          <w:szCs w:val="24"/>
          <w:highlight w:val="none"/>
          <w:lang w:val="zh-CN" w:eastAsia="zh-CN"/>
        </w:rPr>
        <w:t>例如供货第1个月的货款第</w:t>
      </w:r>
      <w:r>
        <w:rPr>
          <w:rFonts w:hint="eastAsia" w:ascii="宋体" w:hAnsi="宋体"/>
          <w:bCs/>
          <w:color w:val="auto"/>
          <w:sz w:val="24"/>
          <w:szCs w:val="24"/>
          <w:highlight w:val="none"/>
          <w:lang w:val="en-US" w:eastAsia="zh-CN"/>
        </w:rPr>
        <w:t>7</w:t>
      </w:r>
      <w:r>
        <w:rPr>
          <w:rFonts w:hint="eastAsia" w:ascii="宋体" w:hAnsi="宋体"/>
          <w:bCs/>
          <w:color w:val="auto"/>
          <w:sz w:val="24"/>
          <w:szCs w:val="24"/>
          <w:highlight w:val="none"/>
          <w:lang w:val="zh-CN" w:eastAsia="zh-CN"/>
        </w:rPr>
        <w:t>个月结算，第2个月的货款第</w:t>
      </w:r>
      <w:r>
        <w:rPr>
          <w:rFonts w:hint="eastAsia" w:ascii="宋体" w:hAnsi="宋体"/>
          <w:bCs/>
          <w:color w:val="auto"/>
          <w:sz w:val="24"/>
          <w:szCs w:val="24"/>
          <w:highlight w:val="none"/>
          <w:lang w:val="en-US" w:eastAsia="zh-CN"/>
        </w:rPr>
        <w:t>8</w:t>
      </w:r>
      <w:r>
        <w:rPr>
          <w:rFonts w:hint="eastAsia" w:ascii="宋体" w:hAnsi="宋体"/>
          <w:bCs/>
          <w:color w:val="auto"/>
          <w:sz w:val="24"/>
          <w:szCs w:val="24"/>
          <w:highlight w:val="none"/>
          <w:lang w:val="zh-CN" w:eastAsia="zh-CN"/>
        </w:rPr>
        <w:t>个月结算。</w:t>
      </w:r>
    </w:p>
    <w:p>
      <w:pPr>
        <w:numPr>
          <w:ilvl w:val="0"/>
          <w:numId w:val="0"/>
        </w:numPr>
        <w:spacing w:line="360" w:lineRule="auto"/>
        <w:rPr>
          <w:rFonts w:hint="eastAsia"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8. SPD供应链费用：供应商所报价格不含SPD精细化管理费用（费率为2.4%），由供应商和SPD服务商根据实际耗材供货量和金额单独结算。</w:t>
      </w:r>
    </w:p>
    <w:p>
      <w:pPr>
        <w:numPr>
          <w:ilvl w:val="0"/>
          <w:numId w:val="0"/>
        </w:numPr>
        <w:spacing w:line="360" w:lineRule="auto"/>
        <w:rPr>
          <w:rFonts w:hint="eastAsia"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9.报价：保证同品牌同型号报价不得高于省属医院且不得高于本市同级别医院。</w:t>
      </w:r>
    </w:p>
    <w:p>
      <w:pPr>
        <w:numPr>
          <w:ilvl w:val="0"/>
          <w:numId w:val="0"/>
        </w:numPr>
        <w:spacing w:line="360" w:lineRule="auto"/>
        <w:rPr>
          <w:rFonts w:hint="eastAsia" w:ascii="宋体" w:hAnsi="宋体"/>
          <w:bCs/>
          <w:color w:val="auto"/>
          <w:sz w:val="24"/>
          <w:szCs w:val="24"/>
          <w:highlight w:val="none"/>
        </w:rPr>
      </w:pPr>
      <w:r>
        <w:rPr>
          <w:rFonts w:hint="eastAsia" w:ascii="宋体" w:hAnsi="宋体"/>
          <w:bCs/>
          <w:color w:val="auto"/>
          <w:sz w:val="24"/>
          <w:szCs w:val="24"/>
          <w:highlight w:val="none"/>
          <w:lang w:val="en-US" w:eastAsia="zh-CN"/>
        </w:rPr>
        <w:t>10.提供最新一批安徽省27位医保收费代码。</w:t>
      </w:r>
    </w:p>
    <w:p>
      <w:pPr>
        <w:numPr>
          <w:ilvl w:val="0"/>
          <w:numId w:val="0"/>
        </w:numPr>
        <w:spacing w:line="360" w:lineRule="auto"/>
        <w:rPr>
          <w:rFonts w:hint="eastAsia"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11.*为核心产品耗材。</w:t>
      </w:r>
    </w:p>
    <w:p>
      <w:pPr>
        <w:numPr>
          <w:ilvl w:val="0"/>
          <w:numId w:val="0"/>
        </w:numPr>
        <w:spacing w:line="360" w:lineRule="auto"/>
        <w:rPr>
          <w:rFonts w:hint="eastAsia" w:ascii="宋体" w:hAnsi="宋体" w:eastAsia="宋体" w:cs="Times New Roman"/>
          <w:bCs/>
          <w:color w:val="auto"/>
          <w:sz w:val="24"/>
          <w:szCs w:val="24"/>
          <w:highlight w:val="none"/>
          <w:lang w:val="en-US" w:eastAsia="zh-CN"/>
        </w:rPr>
      </w:pPr>
      <w:r>
        <w:rPr>
          <w:rFonts w:hint="eastAsia" w:ascii="宋体" w:hAnsi="宋体" w:eastAsia="宋体" w:cs="Times New Roman"/>
          <w:bCs/>
          <w:color w:val="auto"/>
          <w:sz w:val="24"/>
          <w:szCs w:val="24"/>
          <w:highlight w:val="none"/>
          <w:lang w:val="en-US" w:eastAsia="zh-CN"/>
        </w:rPr>
        <w:t>12、招标周期2年，以1+1形式签订合同，即先签订一年合同，如一年之后无重大调整，且中标人服务满足临床需求，则经审批后可续签一年合同。（如遇国家和省市政策价格调整须无条件严格按规定执行）。</w:t>
      </w:r>
    </w:p>
    <w:p>
      <w:pPr>
        <w:numPr>
          <w:ilvl w:val="0"/>
          <w:numId w:val="0"/>
        </w:numPr>
        <w:spacing w:line="360" w:lineRule="auto"/>
        <w:rPr>
          <w:rFonts w:hint="default" w:ascii="宋体" w:hAnsi="宋体" w:eastAsia="宋体" w:cs="Times New Roman"/>
          <w:bCs/>
          <w:color w:val="auto"/>
          <w:sz w:val="24"/>
          <w:szCs w:val="24"/>
          <w:highlight w:val="none"/>
          <w:lang w:val="en-US" w:eastAsia="zh-CN"/>
        </w:rPr>
      </w:pPr>
      <w:r>
        <w:rPr>
          <w:rFonts w:hint="eastAsia" w:ascii="宋体" w:hAnsi="宋体" w:eastAsia="宋体" w:cs="Times New Roman"/>
          <w:bCs/>
          <w:color w:val="auto"/>
          <w:sz w:val="24"/>
          <w:szCs w:val="24"/>
          <w:highlight w:val="none"/>
          <w:lang w:val="en-US" w:eastAsia="zh-CN"/>
        </w:rPr>
        <w:t>13、医院已实施SPD集中物流配送，中标企业需积极配合医院SPD物流配送工作安排，按时缴纳SPD服务配送费用。</w:t>
      </w:r>
    </w:p>
    <w:p>
      <w:pPr>
        <w:rPr>
          <w:rFonts w:hint="eastAsia" w:ascii="宋体" w:hAnsi="宋体" w:eastAsia="宋体"/>
          <w:b/>
          <w:bCs/>
          <w:sz w:val="24"/>
          <w:szCs w:val="24"/>
          <w:lang w:val="en-US" w:eastAsia="zh-CN"/>
        </w:rPr>
      </w:pPr>
      <w:r>
        <w:rPr>
          <w:rFonts w:hint="eastAsia" w:ascii="宋体" w:hAnsi="宋体" w:eastAsia="宋体"/>
          <w:b/>
          <w:bCs/>
          <w:sz w:val="24"/>
          <w:szCs w:val="24"/>
          <w:lang w:val="en-US" w:eastAsia="zh-CN"/>
        </w:rPr>
        <w:br w:type="page"/>
      </w:r>
    </w:p>
    <w:p>
      <w:pPr>
        <w:jc w:val="center"/>
        <w:rPr>
          <w:rFonts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lang w:val="en-US" w:eastAsia="zh-CN"/>
        </w:rPr>
        <w:t xml:space="preserve"> </w:t>
      </w:r>
      <w:r>
        <w:rPr>
          <w:rFonts w:hint="eastAsia" w:ascii="新宋体" w:hAnsi="新宋体" w:eastAsia="新宋体" w:cs="方正小标宋简体"/>
          <w:b/>
          <w:sz w:val="32"/>
          <w:szCs w:val="36"/>
          <w:highlight w:val="none"/>
        </w:rPr>
        <w:t xml:space="preserve">蚌埠市中医医院2024年医用耗材采购及服务（第二批）采购意向及需求公示的反馈意见 </w:t>
      </w:r>
    </w:p>
    <w:p>
      <w:pPr>
        <w:rPr>
          <w:rFonts w:hint="eastAsia" w:ascii="宋体" w:hAnsi="宋体" w:eastAsia="宋体" w:cs="宋体"/>
          <w:sz w:val="28"/>
          <w:szCs w:val="28"/>
          <w:highlight w:val="none"/>
        </w:rPr>
      </w:pPr>
      <w:r>
        <w:rPr>
          <w:rFonts w:hint="eastAsia" w:ascii="宋体" w:hAnsi="宋体" w:eastAsia="宋体" w:cs="宋体"/>
          <w:sz w:val="28"/>
          <w:szCs w:val="28"/>
          <w:highlight w:val="none"/>
          <w:lang w:val="zh-CN"/>
        </w:rPr>
        <w:t>安徽省志成建设工程咨询股份有限公司</w:t>
      </w:r>
      <w:r>
        <w:rPr>
          <w:rFonts w:hint="eastAsia" w:ascii="宋体" w:hAnsi="宋体" w:eastAsia="宋体" w:cs="宋体"/>
          <w:sz w:val="28"/>
          <w:szCs w:val="28"/>
          <w:highlight w:val="none"/>
        </w:rPr>
        <w:t>：</w:t>
      </w:r>
    </w:p>
    <w:p>
      <w:pPr>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针对蚌埠市中医医院2024年医用耗材采购及服务（第二批）,采购意向及需求公示，我单位反馈意见如下：</w:t>
      </w:r>
    </w:p>
    <w:p>
      <w:pPr>
        <w:ind w:firstLine="560" w:firstLineChars="200"/>
        <w:outlineLvl w:val="0"/>
        <w:rPr>
          <w:rFonts w:hint="eastAsia" w:ascii="宋体" w:hAnsi="宋体" w:eastAsia="宋体" w:cs="宋体"/>
          <w:sz w:val="28"/>
          <w:szCs w:val="28"/>
          <w:highlight w:val="none"/>
        </w:rPr>
      </w:pPr>
      <w:r>
        <w:rPr>
          <w:rFonts w:hint="eastAsia" w:ascii="宋体" w:hAnsi="宋体" w:eastAsia="宋体" w:cs="宋体"/>
          <w:sz w:val="28"/>
          <w:szCs w:val="28"/>
          <w:highlight w:val="none"/>
        </w:rPr>
        <w:t>一、需求存在倾向性内容，建议进行修改，修改意见如下：</w:t>
      </w:r>
    </w:p>
    <w:p>
      <w:pPr>
        <w:ind w:left="555"/>
        <w:rPr>
          <w:rFonts w:hint="eastAsia" w:ascii="宋体" w:hAnsi="宋体" w:eastAsia="宋体" w:cs="宋体"/>
          <w:sz w:val="28"/>
          <w:szCs w:val="28"/>
          <w:highlight w:val="none"/>
        </w:rPr>
      </w:pPr>
      <w:r>
        <w:rPr>
          <w:rFonts w:hint="eastAsia" w:ascii="宋体" w:hAnsi="宋体" w:eastAsia="宋体" w:cs="宋体"/>
          <w:sz w:val="28"/>
          <w:szCs w:val="28"/>
          <w:highlight w:val="none"/>
        </w:rPr>
        <w:t>1、</w:t>
      </w:r>
    </w:p>
    <w:p>
      <w:pPr>
        <w:ind w:left="555"/>
        <w:rPr>
          <w:rFonts w:hint="eastAsia" w:ascii="宋体" w:hAnsi="宋体" w:eastAsia="宋体" w:cs="宋体"/>
          <w:sz w:val="28"/>
          <w:szCs w:val="28"/>
          <w:highlight w:val="none"/>
        </w:rPr>
      </w:pPr>
      <w:r>
        <w:rPr>
          <w:rFonts w:hint="eastAsia" w:ascii="宋体" w:hAnsi="宋体" w:eastAsia="宋体" w:cs="宋体"/>
          <w:sz w:val="28"/>
          <w:szCs w:val="28"/>
          <w:highlight w:val="none"/>
        </w:rPr>
        <w:t>2、</w:t>
      </w:r>
    </w:p>
    <w:p>
      <w:pPr>
        <w:ind w:left="555"/>
        <w:rPr>
          <w:rFonts w:hint="eastAsia" w:ascii="宋体" w:hAnsi="宋体" w:eastAsia="宋体" w:cs="宋体"/>
          <w:sz w:val="28"/>
          <w:szCs w:val="28"/>
          <w:highlight w:val="none"/>
        </w:rPr>
      </w:pPr>
      <w:r>
        <w:rPr>
          <w:rFonts w:hint="eastAsia" w:ascii="宋体" w:hAnsi="宋体" w:eastAsia="宋体" w:cs="宋体"/>
          <w:sz w:val="28"/>
          <w:szCs w:val="28"/>
          <w:highlight w:val="none"/>
        </w:rPr>
        <w:t>…</w:t>
      </w:r>
    </w:p>
    <w:p>
      <w:pPr>
        <w:ind w:firstLine="560" w:firstLineChars="200"/>
        <w:outlineLvl w:val="0"/>
        <w:rPr>
          <w:rFonts w:hint="eastAsia" w:ascii="宋体" w:hAnsi="宋体" w:eastAsia="宋体" w:cs="宋体"/>
          <w:sz w:val="28"/>
          <w:szCs w:val="28"/>
          <w:highlight w:val="none"/>
        </w:rPr>
      </w:pPr>
      <w:r>
        <w:rPr>
          <w:rFonts w:hint="eastAsia" w:ascii="宋体" w:hAnsi="宋体" w:eastAsia="宋体" w:cs="宋体"/>
          <w:sz w:val="28"/>
          <w:szCs w:val="28"/>
          <w:highlight w:val="none"/>
        </w:rPr>
        <w:t>二、技术需求存在不明确（或不完整）内容，无法报价，建议进行完善，完善意见如下：</w:t>
      </w:r>
    </w:p>
    <w:p>
      <w:pPr>
        <w:ind w:left="555"/>
        <w:rPr>
          <w:rFonts w:hint="eastAsia" w:ascii="宋体" w:hAnsi="宋体" w:eastAsia="宋体" w:cs="宋体"/>
          <w:sz w:val="28"/>
          <w:szCs w:val="28"/>
          <w:highlight w:val="none"/>
        </w:rPr>
      </w:pPr>
      <w:r>
        <w:rPr>
          <w:rFonts w:hint="eastAsia" w:ascii="宋体" w:hAnsi="宋体" w:eastAsia="宋体" w:cs="宋体"/>
          <w:sz w:val="28"/>
          <w:szCs w:val="28"/>
          <w:highlight w:val="none"/>
        </w:rPr>
        <w:t>1、</w:t>
      </w:r>
    </w:p>
    <w:p>
      <w:pPr>
        <w:ind w:left="555"/>
        <w:rPr>
          <w:rFonts w:hint="eastAsia" w:ascii="宋体" w:hAnsi="宋体" w:eastAsia="宋体" w:cs="宋体"/>
          <w:sz w:val="28"/>
          <w:szCs w:val="28"/>
          <w:highlight w:val="none"/>
        </w:rPr>
      </w:pPr>
      <w:r>
        <w:rPr>
          <w:rFonts w:hint="eastAsia" w:ascii="宋体" w:hAnsi="宋体" w:eastAsia="宋体" w:cs="宋体"/>
          <w:sz w:val="28"/>
          <w:szCs w:val="28"/>
          <w:highlight w:val="none"/>
        </w:rPr>
        <w:t>2、</w:t>
      </w:r>
    </w:p>
    <w:p>
      <w:pPr>
        <w:ind w:left="555"/>
        <w:rPr>
          <w:rFonts w:hint="eastAsia" w:ascii="宋体" w:hAnsi="宋体" w:eastAsia="宋体" w:cs="宋体"/>
          <w:sz w:val="28"/>
          <w:szCs w:val="28"/>
          <w:highlight w:val="none"/>
        </w:rPr>
      </w:pPr>
      <w:r>
        <w:rPr>
          <w:rFonts w:hint="eastAsia" w:ascii="宋体" w:hAnsi="宋体" w:eastAsia="宋体" w:cs="宋体"/>
          <w:sz w:val="28"/>
          <w:szCs w:val="28"/>
          <w:highlight w:val="none"/>
        </w:rPr>
        <w:t>…</w:t>
      </w:r>
    </w:p>
    <w:p>
      <w:pPr>
        <w:pStyle w:val="12"/>
        <w:snapToGrid w:val="0"/>
        <w:spacing w:beforeAutospacing="0" w:afterAutospacing="0" w:line="360" w:lineRule="auto"/>
        <w:outlineLvl w:val="2"/>
        <w:rPr>
          <w:rFonts w:hint="eastAsia" w:ascii="宋体" w:hAnsi="宋体" w:eastAsia="宋体" w:cs="宋体"/>
          <w:bCs/>
          <w:szCs w:val="24"/>
          <w:highlight w:val="none"/>
        </w:rPr>
      </w:pPr>
      <w:r>
        <w:rPr>
          <w:rFonts w:hint="eastAsia" w:ascii="宋体" w:hAnsi="宋体" w:eastAsia="宋体" w:cs="宋体"/>
          <w:sz w:val="28"/>
          <w:szCs w:val="28"/>
          <w:highlight w:val="none"/>
        </w:rPr>
        <w:t>特此函告</w:t>
      </w:r>
    </w:p>
    <w:p>
      <w:pPr>
        <w:rPr>
          <w:rFonts w:hint="eastAsia" w:ascii="宋体" w:hAnsi="宋体" w:eastAsia="宋体" w:cs="宋体"/>
          <w:kern w:val="0"/>
          <w:sz w:val="28"/>
          <w:szCs w:val="28"/>
          <w:highlight w:val="none"/>
        </w:rPr>
      </w:pPr>
    </w:p>
    <w:p>
      <w:pPr>
        <w:rPr>
          <w:rFonts w:hint="eastAsia" w:ascii="宋体" w:hAnsi="宋体" w:eastAsia="宋体" w:cs="宋体"/>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新宋体">
    <w:panose1 w:val="02010609030101010101"/>
    <w:charset w:val="86"/>
    <w:family w:val="modern"/>
    <w:pitch w:val="default"/>
    <w:sig w:usb0="00000203" w:usb1="288F0000" w:usb2="0000000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035BA9"/>
    <w:multiLevelType w:val="singleLevel"/>
    <w:tmpl w:val="0C035BA9"/>
    <w:lvl w:ilvl="0" w:tentative="0">
      <w:start w:val="1"/>
      <w:numFmt w:val="decimal"/>
      <w:lvlText w:val="%1."/>
      <w:lvlJc w:val="left"/>
      <w:pPr>
        <w:tabs>
          <w:tab w:val="left" w:pos="312"/>
        </w:tabs>
      </w:pPr>
    </w:lvl>
  </w:abstractNum>
  <w:abstractNum w:abstractNumId="1">
    <w:nsid w:val="174AC157"/>
    <w:multiLevelType w:val="singleLevel"/>
    <w:tmpl w:val="174AC157"/>
    <w:lvl w:ilvl="0" w:tentative="0">
      <w:start w:val="1"/>
      <w:numFmt w:val="chineseCounting"/>
      <w:suff w:val="nothing"/>
      <w:lvlText w:val="%1、"/>
      <w:lvlJc w:val="left"/>
      <w:pPr>
        <w:ind w:left="480" w:leftChars="0" w:firstLine="0" w:firstLineChars="0"/>
      </w:pPr>
      <w:rPr>
        <w:rFonts w:hint="eastAsia"/>
      </w:rPr>
    </w:lvl>
  </w:abstractNum>
  <w:abstractNum w:abstractNumId="2">
    <w:nsid w:val="34990EA0"/>
    <w:multiLevelType w:val="multilevel"/>
    <w:tmpl w:val="34990EA0"/>
    <w:lvl w:ilvl="0" w:tentative="0">
      <w:start w:val="1"/>
      <w:numFmt w:val="decimal"/>
      <w:lvlText w:val="%1"/>
      <w:lvlJc w:val="left"/>
      <w:pPr>
        <w:ind w:left="432" w:hanging="432"/>
      </w:pPr>
    </w:lvl>
    <w:lvl w:ilvl="1" w:tentative="0">
      <w:start w:val="1"/>
      <w:numFmt w:val="decimal"/>
      <w:pStyle w:val="5"/>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ZTljMTNiZjRiMGNlYzk0MzU2MGE3MTVkMzExZDM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2F95C17"/>
    <w:rsid w:val="03F618F7"/>
    <w:rsid w:val="05BB0E6A"/>
    <w:rsid w:val="07884358"/>
    <w:rsid w:val="088157DD"/>
    <w:rsid w:val="0EA531C5"/>
    <w:rsid w:val="0F7977F4"/>
    <w:rsid w:val="102871DA"/>
    <w:rsid w:val="13CC35BB"/>
    <w:rsid w:val="19E1315F"/>
    <w:rsid w:val="1A4F03D7"/>
    <w:rsid w:val="1A5F0800"/>
    <w:rsid w:val="1E8F565E"/>
    <w:rsid w:val="20701E96"/>
    <w:rsid w:val="20CA5CC3"/>
    <w:rsid w:val="21580108"/>
    <w:rsid w:val="24AE53EF"/>
    <w:rsid w:val="2C730CD7"/>
    <w:rsid w:val="2D925870"/>
    <w:rsid w:val="3A59465F"/>
    <w:rsid w:val="3D3F4BEA"/>
    <w:rsid w:val="442C0469"/>
    <w:rsid w:val="44C73830"/>
    <w:rsid w:val="45156B9E"/>
    <w:rsid w:val="47154846"/>
    <w:rsid w:val="480656EC"/>
    <w:rsid w:val="48212119"/>
    <w:rsid w:val="4D071309"/>
    <w:rsid w:val="4F2A731C"/>
    <w:rsid w:val="52FB7715"/>
    <w:rsid w:val="54A476BC"/>
    <w:rsid w:val="557F2179"/>
    <w:rsid w:val="558D68E8"/>
    <w:rsid w:val="56DD42FB"/>
    <w:rsid w:val="5C267B9A"/>
    <w:rsid w:val="5C6E4623"/>
    <w:rsid w:val="5D480901"/>
    <w:rsid w:val="5EDC7889"/>
    <w:rsid w:val="5F2B5C40"/>
    <w:rsid w:val="5FF4532C"/>
    <w:rsid w:val="60360E90"/>
    <w:rsid w:val="60B24CCB"/>
    <w:rsid w:val="630E2FA0"/>
    <w:rsid w:val="63985972"/>
    <w:rsid w:val="64EA6690"/>
    <w:rsid w:val="67A56356"/>
    <w:rsid w:val="67EF7DEE"/>
    <w:rsid w:val="68AC2EBA"/>
    <w:rsid w:val="68ED244F"/>
    <w:rsid w:val="6D663E0B"/>
    <w:rsid w:val="6E5318EA"/>
    <w:rsid w:val="6F915E09"/>
    <w:rsid w:val="6F922F7F"/>
    <w:rsid w:val="703F64BC"/>
    <w:rsid w:val="754828ED"/>
    <w:rsid w:val="754941F9"/>
    <w:rsid w:val="75BD7996"/>
    <w:rsid w:val="76AC78FF"/>
    <w:rsid w:val="795F7F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ind w:left="420" w:leftChars="200"/>
    </w:pPr>
  </w:style>
  <w:style w:type="paragraph" w:styleId="4">
    <w:name w:val="envelope return"/>
    <w:basedOn w:val="1"/>
    <w:qFormat/>
    <w:uiPriority w:val="0"/>
    <w:pPr>
      <w:snapToGrid w:val="0"/>
    </w:pPr>
    <w:rPr>
      <w:rFonts w:ascii="Arial" w:hAnsi="Arial" w:cs="Arial"/>
    </w:rPr>
  </w:style>
  <w:style w:type="paragraph" w:styleId="6">
    <w:name w:val="annotation text"/>
    <w:basedOn w:val="1"/>
    <w:link w:val="24"/>
    <w:semiHidden/>
    <w:unhideWhenUsed/>
    <w:qFormat/>
    <w:uiPriority w:val="99"/>
    <w:pPr>
      <w:jc w:val="left"/>
    </w:pPr>
  </w:style>
  <w:style w:type="paragraph" w:styleId="7">
    <w:name w:val="Body Text"/>
    <w:basedOn w:val="1"/>
    <w:qFormat/>
    <w:uiPriority w:val="0"/>
    <w:rPr>
      <w:rFonts w:ascii="宋体" w:hAnsi="Arial"/>
      <w:sz w:val="28"/>
    </w:rPr>
  </w:style>
  <w:style w:type="paragraph" w:styleId="8">
    <w:name w:val="Balloon Text"/>
    <w:basedOn w:val="1"/>
    <w:link w:val="26"/>
    <w:semiHidden/>
    <w:unhideWhenUsed/>
    <w:qFormat/>
    <w:uiPriority w:val="99"/>
    <w:rPr>
      <w:sz w:val="18"/>
      <w:szCs w:val="18"/>
    </w:rPr>
  </w:style>
  <w:style w:type="paragraph" w:styleId="9">
    <w:name w:val="footer"/>
    <w:basedOn w:val="1"/>
    <w:link w:val="21"/>
    <w:unhideWhenUsed/>
    <w:qFormat/>
    <w:uiPriority w:val="99"/>
    <w:pPr>
      <w:tabs>
        <w:tab w:val="center" w:pos="4153"/>
        <w:tab w:val="right" w:pos="8306"/>
      </w:tabs>
      <w:snapToGrid w:val="0"/>
      <w:jc w:val="left"/>
    </w:pPr>
    <w:rPr>
      <w:sz w:val="18"/>
      <w:szCs w:val="18"/>
    </w:rPr>
  </w:style>
  <w:style w:type="paragraph" w:styleId="10">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Normal (Web)"/>
    <w:basedOn w:val="1"/>
    <w:unhideWhenUsed/>
    <w:qFormat/>
    <w:uiPriority w:val="0"/>
    <w:pPr>
      <w:spacing w:beforeAutospacing="1" w:afterAutospacing="1"/>
      <w:jc w:val="left"/>
    </w:pPr>
    <w:rPr>
      <w:kern w:val="0"/>
      <w:sz w:val="24"/>
    </w:rPr>
  </w:style>
  <w:style w:type="paragraph" w:styleId="13">
    <w:name w:val="annotation subject"/>
    <w:basedOn w:val="6"/>
    <w:next w:val="6"/>
    <w:link w:val="25"/>
    <w:semiHidden/>
    <w:unhideWhenUsed/>
    <w:qFormat/>
    <w:uiPriority w:val="99"/>
    <w:rPr>
      <w:b/>
      <w:bCs/>
    </w:rPr>
  </w:style>
  <w:style w:type="table" w:styleId="15">
    <w:name w:val="Table Grid"/>
    <w:basedOn w:val="14"/>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qFormat/>
    <w:uiPriority w:val="0"/>
  </w:style>
  <w:style w:type="character" w:styleId="18">
    <w:name w:val="annotation reference"/>
    <w:basedOn w:val="16"/>
    <w:semiHidden/>
    <w:unhideWhenUsed/>
    <w:qFormat/>
    <w:uiPriority w:val="99"/>
    <w:rPr>
      <w:sz w:val="21"/>
      <w:szCs w:val="21"/>
    </w:rPr>
  </w:style>
  <w:style w:type="paragraph" w:customStyle="1" w:styleId="19">
    <w:name w:val="Default"/>
    <w:qFormat/>
    <w:uiPriority w:val="0"/>
    <w:pPr>
      <w:widowControl w:val="0"/>
      <w:autoSpaceDE w:val="0"/>
      <w:autoSpaceDN w:val="0"/>
      <w:adjustRightInd w:val="0"/>
    </w:pPr>
    <w:rPr>
      <w:rFonts w:ascii="......." w:hAnsi="Calibri" w:eastAsia="......." w:cs="......."/>
      <w:color w:val="000000"/>
      <w:sz w:val="24"/>
      <w:szCs w:val="24"/>
      <w:lang w:val="en-US" w:eastAsia="zh-CN" w:bidi="ar-SA"/>
    </w:rPr>
  </w:style>
  <w:style w:type="character" w:customStyle="1" w:styleId="20">
    <w:name w:val="页眉 Char"/>
    <w:basedOn w:val="16"/>
    <w:link w:val="10"/>
    <w:semiHidden/>
    <w:qFormat/>
    <w:uiPriority w:val="99"/>
    <w:rPr>
      <w:sz w:val="18"/>
      <w:szCs w:val="18"/>
    </w:rPr>
  </w:style>
  <w:style w:type="character" w:customStyle="1" w:styleId="21">
    <w:name w:val="页脚 Char"/>
    <w:basedOn w:val="16"/>
    <w:link w:val="9"/>
    <w:semiHidden/>
    <w:qFormat/>
    <w:uiPriority w:val="99"/>
    <w:rPr>
      <w:sz w:val="18"/>
      <w:szCs w:val="18"/>
    </w:rPr>
  </w:style>
  <w:style w:type="paragraph" w:customStyle="1" w:styleId="22">
    <w:name w:val="列出段落1"/>
    <w:basedOn w:val="1"/>
    <w:qFormat/>
    <w:uiPriority w:val="34"/>
    <w:pPr>
      <w:ind w:firstLine="420" w:firstLineChars="200"/>
    </w:pPr>
  </w:style>
  <w:style w:type="paragraph" w:styleId="23">
    <w:name w:val="List Paragraph"/>
    <w:basedOn w:val="1"/>
    <w:unhideWhenUsed/>
    <w:qFormat/>
    <w:uiPriority w:val="99"/>
    <w:pPr>
      <w:ind w:firstLine="420" w:firstLineChars="200"/>
    </w:pPr>
  </w:style>
  <w:style w:type="character" w:customStyle="1" w:styleId="24">
    <w:name w:val="批注文字 Char"/>
    <w:basedOn w:val="16"/>
    <w:link w:val="6"/>
    <w:semiHidden/>
    <w:qFormat/>
    <w:uiPriority w:val="99"/>
    <w:rPr>
      <w:kern w:val="2"/>
      <w:sz w:val="21"/>
      <w:szCs w:val="22"/>
    </w:rPr>
  </w:style>
  <w:style w:type="character" w:customStyle="1" w:styleId="25">
    <w:name w:val="批注主题 Char"/>
    <w:basedOn w:val="24"/>
    <w:link w:val="13"/>
    <w:semiHidden/>
    <w:qFormat/>
    <w:uiPriority w:val="99"/>
    <w:rPr>
      <w:b/>
      <w:bCs/>
    </w:rPr>
  </w:style>
  <w:style w:type="character" w:customStyle="1" w:styleId="26">
    <w:name w:val="批注框文本 Char"/>
    <w:basedOn w:val="16"/>
    <w:link w:val="8"/>
    <w:semiHidden/>
    <w:qFormat/>
    <w:uiPriority w:val="99"/>
    <w:rPr>
      <w:kern w:val="2"/>
      <w:sz w:val="18"/>
      <w:szCs w:val="18"/>
    </w:rPr>
  </w:style>
  <w:style w:type="paragraph" w:customStyle="1" w:styleId="27">
    <w:name w:val="正文11"/>
    <w:basedOn w:val="1"/>
    <w:qFormat/>
    <w:uiPriority w:val="0"/>
    <w:pPr>
      <w:adjustRightInd w:val="0"/>
      <w:spacing w:line="318" w:lineRule="atLeast"/>
      <w:ind w:left="369" w:firstLine="369"/>
      <w:textAlignment w:val="baseline"/>
    </w:pPr>
    <w:rPr>
      <w:rFonts w:ascii="宋体" w:hAnsi="Calibri"/>
      <w:szCs w:val="20"/>
    </w:rPr>
  </w:style>
  <w:style w:type="paragraph" w:customStyle="1" w:styleId="28">
    <w:name w:val="Normal"/>
    <w:qFormat/>
    <w:uiPriority w:val="0"/>
    <w:rPr>
      <w:rFonts w:ascii="Times New Roman" w:hAnsi="Times New Roman" w:eastAsia="Times New Roman" w:cs="Times New Roman"/>
      <w:sz w:val="24"/>
      <w:szCs w:val="24"/>
      <w:lang w:bidi="ar-SA"/>
    </w:rPr>
  </w:style>
  <w:style w:type="table" w:customStyle="1" w:styleId="29">
    <w:name w:val="Plain Table 1"/>
    <w:basedOn w:val="14"/>
    <w:qFormat/>
    <w:uiPriority w:val="41"/>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Pr>
    <w:tblStylePr w:type="firstRow">
      <w:rPr>
        <w:b/>
        <w:bCs/>
      </w:rPr>
    </w:tblStylePr>
    <w:tblStylePr w:type="lastRow">
      <w:rPr>
        <w:b/>
        <w:bCs/>
      </w:rPr>
      <w:tcPr>
        <w:tcBorders>
          <w:top w:val="double" w:color="BEBEB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F1F1F1"/>
      </w:tcPr>
    </w:tblStylePr>
    <w:tblStylePr w:type="band1Horz">
      <w:tcPr>
        <w:shd w:val="clear" w:color="auto" w:fill="F1F1F1"/>
      </w:tcPr>
    </w:tblStylePr>
  </w:style>
  <w:style w:type="paragraph" w:customStyle="1" w:styleId="30">
    <w:name w:val="正文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1">
    <w:name w:val="D&amp;L"/>
    <w:basedOn w:val="10"/>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32">
    <w:name w:val="xl31"/>
    <w:basedOn w:val="1"/>
    <w:qFormat/>
    <w:uiPriority w:val="0"/>
    <w:pPr>
      <w:widowControl/>
      <w:spacing w:before="100" w:beforeAutospacing="1" w:after="100" w:afterAutospacing="1"/>
      <w:jc w:val="center"/>
    </w:pPr>
    <w:rPr>
      <w:b/>
      <w:bCs/>
      <w:kern w:val="0"/>
      <w:sz w:val="28"/>
      <w:szCs w:val="28"/>
    </w:rPr>
  </w:style>
  <w:style w:type="character" w:customStyle="1" w:styleId="33">
    <w:name w:val="font11"/>
    <w:basedOn w:val="16"/>
    <w:qFormat/>
    <w:uiPriority w:val="0"/>
    <w:rPr>
      <w:rFonts w:hint="eastAsia" w:ascii="宋体" w:hAnsi="宋体" w:eastAsia="宋体" w:cs="宋体"/>
      <w:color w:val="000000"/>
      <w:sz w:val="24"/>
      <w:szCs w:val="24"/>
      <w:u w:val="none"/>
    </w:rPr>
  </w:style>
  <w:style w:type="character" w:customStyle="1" w:styleId="34">
    <w:name w:val="font31"/>
    <w:basedOn w:val="16"/>
    <w:qFormat/>
    <w:uiPriority w:val="0"/>
    <w:rPr>
      <w:rFonts w:ascii="Calibri" w:hAnsi="Calibri" w:cs="Calibri"/>
      <w:color w:val="000000"/>
      <w:sz w:val="24"/>
      <w:szCs w:val="24"/>
      <w:u w:val="none"/>
    </w:rPr>
  </w:style>
  <w:style w:type="character" w:customStyle="1" w:styleId="35">
    <w:name w:val="font51"/>
    <w:basedOn w:val="16"/>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21</Pages>
  <Words>1267</Words>
  <Characters>1354</Characters>
  <Lines>57</Lines>
  <Paragraphs>16</Paragraphs>
  <TotalTime>2</TotalTime>
  <ScaleCrop>false</ScaleCrop>
  <LinksUpToDate>false</LinksUpToDate>
  <CharactersWithSpaces>1367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2024-06-18T09:02:28Z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8722C9F311B44D40B7E9279C1A83C4B1_13</vt:lpwstr>
  </property>
</Properties>
</file>