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center"/>
        <w:rPr>
          <w:rFonts w:hint="eastAsia" w:hAnsi="宋体" w:cs="宋体"/>
          <w:b/>
          <w:bCs/>
          <w:kern w:val="0"/>
          <w:sz w:val="48"/>
          <w:szCs w:val="48"/>
          <w:shd w:val="clear" w:color="auto" w:fill="FFFFFF"/>
        </w:rPr>
      </w:pPr>
    </w:p>
    <w:p>
      <w:pPr>
        <w:pStyle w:val="9"/>
        <w:jc w:val="center"/>
        <w:rPr>
          <w:rFonts w:hAnsi="宋体" w:cs="宋体"/>
          <w:b/>
          <w:bCs/>
          <w:kern w:val="0"/>
          <w:sz w:val="48"/>
          <w:szCs w:val="48"/>
          <w:shd w:val="clear" w:color="auto" w:fill="FFFFFF"/>
        </w:rPr>
      </w:pPr>
      <w:r>
        <w:rPr>
          <w:rFonts w:hint="eastAsia" w:hAnsi="宋体" w:cs="宋体"/>
          <w:b/>
          <w:bCs/>
          <w:kern w:val="0"/>
          <w:sz w:val="48"/>
          <w:szCs w:val="48"/>
          <w:shd w:val="clear" w:color="auto" w:fill="FFFFFF"/>
        </w:rPr>
        <w:t>蚌埠二院消毒供应中心服务外包项目</w:t>
      </w:r>
    </w:p>
    <w:p/>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采</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购</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需</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求</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报</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告</w:t>
      </w:r>
    </w:p>
    <w:p>
      <w:pPr>
        <w:jc w:val="center"/>
        <w:rPr>
          <w:sz w:val="28"/>
          <w:szCs w:val="28"/>
        </w:rPr>
      </w:pPr>
    </w:p>
    <w:p>
      <w:pPr>
        <w:pStyle w:val="16"/>
        <w:ind w:firstLine="560"/>
        <w:rPr>
          <w:sz w:val="28"/>
          <w:szCs w:val="28"/>
        </w:rPr>
      </w:pPr>
    </w:p>
    <w:p>
      <w:pPr>
        <w:pStyle w:val="16"/>
        <w:ind w:left="0" w:leftChars="0" w:firstLine="1680" w:firstLineChars="600"/>
        <w:jc w:val="left"/>
        <w:rPr>
          <w:rFonts w:ascii="宋体" w:hAnsi="宋体" w:cs="宋体"/>
          <w:sz w:val="28"/>
          <w:szCs w:val="28"/>
        </w:rPr>
      </w:pPr>
      <w:r>
        <w:rPr>
          <w:rFonts w:hint="eastAsia" w:ascii="宋体" w:hAnsi="宋体" w:cs="宋体"/>
          <w:sz w:val="28"/>
          <w:szCs w:val="28"/>
        </w:rPr>
        <w:t>编制单位：</w:t>
      </w:r>
      <w:r>
        <w:rPr>
          <w:rFonts w:hint="eastAsia" w:ascii="宋体" w:hAnsi="宋体" w:cs="宋体"/>
          <w:sz w:val="28"/>
          <w:szCs w:val="28"/>
          <w:u w:val="single"/>
        </w:rPr>
        <w:t>蚌埠市第二人民医院</w:t>
      </w:r>
    </w:p>
    <w:p>
      <w:pPr>
        <w:pStyle w:val="16"/>
        <w:ind w:left="0" w:leftChars="0" w:firstLine="1680" w:firstLineChars="600"/>
        <w:jc w:val="left"/>
        <w:rPr>
          <w:rFonts w:eastAsia="宋体"/>
          <w:sz w:val="24"/>
          <w:szCs w:val="24"/>
          <w:u w:val="single"/>
        </w:rPr>
      </w:pPr>
      <w:r>
        <w:rPr>
          <w:rFonts w:hint="eastAsia" w:ascii="宋体" w:hAnsi="宋体" w:cs="宋体"/>
          <w:sz w:val="28"/>
          <w:szCs w:val="28"/>
        </w:rPr>
        <w:t>编制时间：</w:t>
      </w:r>
      <w:r>
        <w:rPr>
          <w:rFonts w:hint="eastAsia" w:ascii="宋体" w:hAnsi="宋体" w:cs="宋体"/>
          <w:sz w:val="28"/>
          <w:szCs w:val="28"/>
          <w:u w:val="single"/>
        </w:rPr>
        <w:t>2024年</w:t>
      </w:r>
      <w:r>
        <w:rPr>
          <w:rFonts w:hint="eastAsia" w:ascii="宋体" w:hAnsi="宋体" w:cs="宋体"/>
          <w:sz w:val="28"/>
          <w:szCs w:val="28"/>
          <w:u w:val="single"/>
          <w:lang w:val="en-US" w:eastAsia="zh-CN"/>
        </w:rPr>
        <w:t>6</w:t>
      </w:r>
      <w:r>
        <w:rPr>
          <w:rFonts w:hint="eastAsia" w:ascii="宋体" w:hAnsi="宋体" w:cs="宋体"/>
          <w:sz w:val="28"/>
          <w:szCs w:val="28"/>
          <w:u w:val="single"/>
        </w:rPr>
        <w:t>月</w:t>
      </w:r>
      <w:r>
        <w:rPr>
          <w:rFonts w:hint="eastAsia" w:ascii="宋体" w:hAnsi="宋体" w:cs="宋体"/>
          <w:sz w:val="28"/>
          <w:szCs w:val="28"/>
          <w:u w:val="single"/>
          <w:lang w:val="en-US" w:eastAsia="zh-CN"/>
        </w:rPr>
        <w:t>21</w:t>
      </w:r>
      <w:r>
        <w:rPr>
          <w:rFonts w:hint="eastAsia" w:ascii="宋体" w:hAnsi="宋体" w:cs="宋体"/>
          <w:sz w:val="28"/>
          <w:szCs w:val="28"/>
          <w:u w:val="single"/>
        </w:rPr>
        <w:t>日</w:t>
      </w:r>
    </w:p>
    <w:p>
      <w:pPr>
        <w:widowControl/>
        <w:spacing w:after="120" w:line="460" w:lineRule="exact"/>
        <w:rPr>
          <w:kern w:val="0"/>
          <w:shd w:val="clear" w:color="auto" w:fill="FFFFFF"/>
        </w:rPr>
      </w:pPr>
    </w:p>
    <w:p>
      <w:pPr>
        <w:widowControl/>
        <w:spacing w:after="120" w:line="460" w:lineRule="exact"/>
        <w:rPr>
          <w:kern w:val="0"/>
          <w:shd w:val="clear" w:color="auto" w:fill="FFFFFF"/>
        </w:rPr>
      </w:pPr>
    </w:p>
    <w:p>
      <w:pPr>
        <w:widowControl/>
        <w:spacing w:after="120" w:line="460" w:lineRule="exact"/>
        <w:rPr>
          <w:kern w:val="0"/>
          <w:shd w:val="clear" w:color="auto" w:fill="FFFFFF"/>
        </w:rPr>
      </w:pPr>
    </w:p>
    <w:p>
      <w:pPr>
        <w:pStyle w:val="16"/>
        <w:rPr>
          <w:kern w:val="0"/>
          <w:shd w:val="clear" w:color="auto" w:fill="FFFFFF"/>
        </w:rPr>
      </w:pPr>
    </w:p>
    <w:p/>
    <w:p>
      <w:pPr>
        <w:pStyle w:val="16"/>
        <w:rPr>
          <w:kern w:val="0"/>
          <w:shd w:val="clear" w:color="auto" w:fill="FFFFFF"/>
        </w:rPr>
      </w:pPr>
    </w:p>
    <w:p>
      <w:pPr>
        <w:pStyle w:val="16"/>
        <w:rPr>
          <w:kern w:val="0"/>
          <w:shd w:val="clear" w:color="auto" w:fill="FFFFFF"/>
        </w:rPr>
      </w:pPr>
    </w:p>
    <w:p/>
    <w:p>
      <w:pPr>
        <w:pStyle w:val="16"/>
        <w:rPr>
          <w:kern w:val="0"/>
          <w:shd w:val="clear" w:color="auto" w:fill="FFFFFF"/>
        </w:rPr>
      </w:pPr>
    </w:p>
    <w:p>
      <w:pPr>
        <w:pStyle w:val="16"/>
        <w:rPr>
          <w:kern w:val="0"/>
          <w:shd w:val="clear" w:color="auto" w:fill="FFFFFF"/>
        </w:rPr>
      </w:pPr>
    </w:p>
    <w:p>
      <w:pPr>
        <w:pStyle w:val="16"/>
        <w:ind w:left="0" w:leftChars="0" w:firstLine="0" w:firstLineChars="0"/>
        <w:rPr>
          <w:kern w:val="0"/>
          <w:shd w:val="clear" w:color="auto" w:fill="FFFFFF"/>
        </w:rPr>
      </w:pPr>
    </w:p>
    <w:p>
      <w:pPr>
        <w:widowControl/>
        <w:numPr>
          <w:ilvl w:val="0"/>
          <w:numId w:val="2"/>
        </w:numPr>
        <w:snapToGrid w:val="0"/>
        <w:spacing w:line="360" w:lineRule="auto"/>
        <w:jc w:val="left"/>
        <w:rPr>
          <w:rFonts w:hint="eastAsia" w:ascii="宋体" w:hAnsi="宋体" w:cs="宋体"/>
          <w:color w:val="auto"/>
          <w:kern w:val="0"/>
          <w:sz w:val="24"/>
          <w:szCs w:val="24"/>
          <w:shd w:val="clear" w:color="auto" w:fill="FFFFFF"/>
          <w:lang w:eastAsia="zh-CN"/>
        </w:rPr>
      </w:pPr>
      <w:r>
        <w:rPr>
          <w:rFonts w:hint="eastAsia" w:ascii="宋体" w:hAnsi="宋体" w:cs="宋体"/>
          <w:color w:val="auto"/>
          <w:kern w:val="0"/>
          <w:sz w:val="24"/>
          <w:szCs w:val="24"/>
          <w:shd w:val="clear" w:color="auto" w:fill="FFFFFF"/>
        </w:rPr>
        <w:t>项目名称：蚌埠二院消毒供应中心服务外包项目</w:t>
      </w:r>
      <w:r>
        <w:rPr>
          <w:rFonts w:hint="eastAsia" w:ascii="宋体" w:hAnsi="宋体" w:cs="宋体"/>
          <w:color w:val="auto"/>
          <w:kern w:val="0"/>
          <w:sz w:val="24"/>
          <w:szCs w:val="24"/>
          <w:shd w:val="clear" w:color="auto" w:fill="FFFFFF"/>
          <w:lang w:eastAsia="zh-CN"/>
        </w:rPr>
        <w:t>；</w:t>
      </w:r>
    </w:p>
    <w:p>
      <w:pPr>
        <w:widowControl/>
        <w:numPr>
          <w:ilvl w:val="0"/>
          <w:numId w:val="0"/>
        </w:numPr>
        <w:snapToGrid w:val="0"/>
        <w:spacing w:line="360" w:lineRule="auto"/>
        <w:jc w:val="left"/>
        <w:rPr>
          <w:rFonts w:hint="eastAsia" w:ascii="宋体" w:hAnsi="宋体" w:cs="宋体" w:eastAsiaTheme="minorEastAsia"/>
          <w:color w:val="auto"/>
          <w:kern w:val="0"/>
          <w:sz w:val="24"/>
          <w:szCs w:val="24"/>
          <w:shd w:val="clear" w:color="auto" w:fill="FFFFFF"/>
          <w:lang w:eastAsia="zh-CN"/>
        </w:rPr>
      </w:pPr>
      <w:r>
        <w:rPr>
          <w:rFonts w:hint="eastAsia" w:ascii="宋体" w:hAnsi="宋体" w:cs="宋体"/>
          <w:color w:val="auto"/>
          <w:kern w:val="0"/>
          <w:sz w:val="24"/>
          <w:szCs w:val="24"/>
          <w:shd w:val="clear" w:color="auto" w:fill="FFFFFF"/>
          <w:lang w:val="en-US" w:eastAsia="zh-CN"/>
        </w:rPr>
        <w:t>2</w:t>
      </w:r>
      <w:r>
        <w:rPr>
          <w:rFonts w:hint="eastAsia" w:ascii="宋体" w:hAnsi="宋体" w:cs="宋体"/>
          <w:color w:val="auto"/>
          <w:kern w:val="0"/>
          <w:sz w:val="24"/>
          <w:szCs w:val="24"/>
          <w:shd w:val="clear" w:color="auto" w:fill="FFFFFF"/>
        </w:rPr>
        <w:t xml:space="preserve">、项目编号：ZCGF-BBEY-2024033 </w:t>
      </w:r>
      <w:r>
        <w:rPr>
          <w:rFonts w:hint="eastAsia" w:ascii="宋体" w:hAnsi="宋体" w:cs="宋体"/>
          <w:color w:val="auto"/>
          <w:kern w:val="0"/>
          <w:sz w:val="24"/>
          <w:szCs w:val="24"/>
          <w:shd w:val="clear" w:color="auto" w:fill="FFFFFF"/>
          <w:lang w:eastAsia="zh-CN"/>
        </w:rPr>
        <w:t>；</w:t>
      </w:r>
    </w:p>
    <w:p>
      <w:pPr>
        <w:widowControl/>
        <w:snapToGrid w:val="0"/>
        <w:spacing w:line="360" w:lineRule="auto"/>
        <w:jc w:val="left"/>
        <w:rPr>
          <w:rFonts w:hint="eastAsia" w:ascii="宋体" w:hAnsi="宋体" w:cs="宋体" w:eastAsiaTheme="minorEastAsia"/>
          <w:color w:val="auto"/>
          <w:kern w:val="0"/>
          <w:sz w:val="24"/>
          <w:szCs w:val="24"/>
          <w:shd w:val="clear" w:color="auto" w:fill="FFFFFF"/>
          <w:lang w:eastAsia="zh-CN"/>
        </w:rPr>
      </w:pPr>
      <w:r>
        <w:rPr>
          <w:rFonts w:hint="eastAsia" w:ascii="宋体" w:hAnsi="宋体" w:cs="宋体"/>
          <w:color w:val="auto"/>
          <w:kern w:val="0"/>
          <w:sz w:val="24"/>
          <w:szCs w:val="24"/>
          <w:shd w:val="clear" w:color="auto" w:fill="FFFFFF"/>
          <w:lang w:val="en-US" w:eastAsia="zh-CN"/>
        </w:rPr>
        <w:t>3</w:t>
      </w:r>
      <w:r>
        <w:rPr>
          <w:rFonts w:hint="eastAsia" w:ascii="宋体" w:hAnsi="宋体" w:cs="宋体"/>
          <w:color w:val="auto"/>
          <w:kern w:val="0"/>
          <w:sz w:val="24"/>
          <w:szCs w:val="24"/>
          <w:shd w:val="clear" w:color="auto" w:fill="FFFFFF"/>
        </w:rPr>
        <w:t>、主要内容：供应商承包医院原有消毒供应中心为医院提供全部器械的清洗消毒灭菌、以及医用织物消毒灭菌</w:t>
      </w:r>
      <w:r>
        <w:rPr>
          <w:rFonts w:hint="eastAsia" w:ascii="宋体" w:hAnsi="宋体" w:cs="宋体"/>
          <w:color w:val="auto"/>
          <w:kern w:val="0"/>
          <w:sz w:val="24"/>
          <w:szCs w:val="24"/>
          <w:shd w:val="clear" w:color="auto" w:fill="FFFFFF"/>
          <w:lang w:eastAsia="zh-CN"/>
        </w:rPr>
        <w:t>；</w:t>
      </w:r>
    </w:p>
    <w:p>
      <w:pPr>
        <w:widowControl/>
        <w:snapToGrid w:val="0"/>
        <w:spacing w:line="360" w:lineRule="auto"/>
        <w:jc w:val="left"/>
        <w:rPr>
          <w:rFonts w:hint="eastAsia" w:ascii="宋体" w:hAnsi="宋体" w:cs="宋体" w:eastAsiaTheme="minorEastAsia"/>
          <w:color w:val="auto"/>
          <w:kern w:val="0"/>
          <w:sz w:val="24"/>
          <w:szCs w:val="24"/>
          <w:shd w:val="clear" w:color="auto" w:fill="FFFFFF"/>
          <w:lang w:eastAsia="zh-CN"/>
        </w:rPr>
      </w:pPr>
      <w:r>
        <w:rPr>
          <w:rFonts w:hint="eastAsia" w:ascii="宋体" w:hAnsi="宋体" w:cs="宋体"/>
          <w:color w:val="auto"/>
          <w:kern w:val="0"/>
          <w:sz w:val="24"/>
          <w:szCs w:val="24"/>
          <w:shd w:val="clear" w:color="auto" w:fill="FFFFFF"/>
          <w:lang w:val="en-US" w:eastAsia="zh-CN"/>
        </w:rPr>
        <w:t>4</w:t>
      </w:r>
      <w:r>
        <w:rPr>
          <w:rFonts w:hint="eastAsia" w:ascii="宋体" w:hAnsi="宋体" w:cs="宋体"/>
          <w:color w:val="auto"/>
          <w:kern w:val="0"/>
          <w:sz w:val="24"/>
          <w:szCs w:val="24"/>
          <w:shd w:val="clear" w:color="auto" w:fill="FFFFFF"/>
        </w:rPr>
        <w:t>、采购预算：360.3万元/年</w:t>
      </w:r>
      <w:r>
        <w:rPr>
          <w:rFonts w:hint="eastAsia" w:ascii="宋体" w:hAnsi="宋体" w:cs="宋体"/>
          <w:color w:val="auto"/>
          <w:kern w:val="0"/>
          <w:sz w:val="24"/>
          <w:szCs w:val="24"/>
          <w:shd w:val="clear" w:color="auto" w:fill="FFFFFF"/>
          <w:lang w:eastAsia="zh-CN"/>
        </w:rPr>
        <w:t>；</w:t>
      </w:r>
    </w:p>
    <w:p>
      <w:pPr>
        <w:widowControl/>
        <w:snapToGrid w:val="0"/>
        <w:spacing w:line="360" w:lineRule="auto"/>
        <w:jc w:val="left"/>
        <w:rPr>
          <w:rFonts w:hint="default" w:ascii="宋体" w:hAnsi="宋体" w:cs="宋体" w:eastAsiaTheme="minorEastAsia"/>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5、资金性质：自筹资金；</w:t>
      </w:r>
    </w:p>
    <w:p>
      <w:pPr>
        <w:widowControl/>
        <w:snapToGrid w:val="0"/>
        <w:spacing w:line="360" w:lineRule="auto"/>
        <w:ind w:left="960" w:hanging="960" w:hangingChars="400"/>
        <w:jc w:val="left"/>
        <w:rPr>
          <w:rFonts w:hint="eastAsia" w:ascii="宋体" w:hAnsi="宋体" w:cs="宋体"/>
          <w:color w:val="auto"/>
          <w:kern w:val="0"/>
          <w:sz w:val="24"/>
          <w:szCs w:val="24"/>
          <w:shd w:val="clear" w:color="auto" w:fill="FFFFFF"/>
        </w:rPr>
      </w:pPr>
      <w:r>
        <w:rPr>
          <w:rFonts w:hint="eastAsia" w:ascii="宋体" w:hAnsi="宋体" w:cs="宋体"/>
          <w:color w:val="auto"/>
          <w:kern w:val="0"/>
          <w:sz w:val="24"/>
          <w:szCs w:val="24"/>
          <w:shd w:val="clear" w:color="auto" w:fill="FFFFFF"/>
          <w:lang w:val="en-US" w:eastAsia="zh-CN"/>
        </w:rPr>
        <w:t>6、</w:t>
      </w:r>
      <w:r>
        <w:rPr>
          <w:rFonts w:hint="eastAsia" w:ascii="宋体" w:hAnsi="宋体" w:cs="宋体"/>
          <w:color w:val="auto"/>
          <w:kern w:val="0"/>
          <w:sz w:val="24"/>
          <w:szCs w:val="24"/>
          <w:shd w:val="clear" w:color="auto" w:fill="FFFFFF"/>
        </w:rPr>
        <w:t>服务期限：3年（采用1+1+1模式）</w:t>
      </w:r>
      <w:r>
        <w:rPr>
          <w:rFonts w:hint="eastAsia" w:ascii="宋体" w:hAnsi="宋体" w:cs="宋体"/>
          <w:color w:val="auto"/>
          <w:kern w:val="0"/>
          <w:sz w:val="24"/>
          <w:szCs w:val="24"/>
          <w:shd w:val="clear" w:color="auto" w:fill="FFFFFF"/>
          <w:lang w:eastAsia="zh-CN"/>
        </w:rPr>
        <w:t>，</w:t>
      </w:r>
      <w:r>
        <w:rPr>
          <w:rFonts w:hint="eastAsia" w:ascii="宋体" w:hAnsi="宋体" w:cs="宋体"/>
          <w:color w:val="auto"/>
          <w:kern w:val="0"/>
          <w:sz w:val="24"/>
          <w:szCs w:val="24"/>
          <w:shd w:val="clear" w:color="auto" w:fill="FFFFFF"/>
        </w:rPr>
        <w:t>服务期内院方组织每年服务期满考核，考核合格后合同方可继续执行，如考核不合格，医院有权无条件终止合同</w:t>
      </w:r>
      <w:r>
        <w:rPr>
          <w:rFonts w:hint="eastAsia" w:ascii="宋体" w:hAnsi="宋体" w:cs="宋体"/>
          <w:color w:val="auto"/>
          <w:kern w:val="0"/>
          <w:sz w:val="24"/>
          <w:szCs w:val="24"/>
          <w:shd w:val="clear" w:color="auto" w:fill="FFFFFF"/>
          <w:lang w:eastAsia="zh-CN"/>
        </w:rPr>
        <w:t>；</w:t>
      </w:r>
      <w:r>
        <w:rPr>
          <w:rFonts w:hint="eastAsia" w:ascii="宋体" w:hAnsi="宋体" w:cs="宋体"/>
          <w:color w:val="auto"/>
          <w:kern w:val="0"/>
          <w:sz w:val="24"/>
          <w:szCs w:val="24"/>
          <w:shd w:val="clear" w:color="auto" w:fill="FFFFFF"/>
        </w:rPr>
        <w:t xml:space="preserve"> </w:t>
      </w:r>
    </w:p>
    <w:p>
      <w:pPr>
        <w:widowControl/>
        <w:snapToGrid w:val="0"/>
        <w:spacing w:line="360" w:lineRule="auto"/>
        <w:jc w:val="left"/>
        <w:rPr>
          <w:rFonts w:hint="eastAsia" w:ascii="宋体" w:hAnsi="宋体" w:cs="宋体"/>
          <w:color w:val="auto"/>
          <w:kern w:val="0"/>
          <w:sz w:val="24"/>
          <w:szCs w:val="24"/>
          <w:shd w:val="clear" w:color="auto" w:fill="FFFFFF"/>
        </w:rPr>
      </w:pPr>
      <w:r>
        <w:rPr>
          <w:rFonts w:hint="eastAsia" w:ascii="宋体" w:hAnsi="宋体" w:cs="宋体"/>
          <w:color w:val="auto"/>
          <w:kern w:val="0"/>
          <w:sz w:val="24"/>
          <w:szCs w:val="24"/>
          <w:shd w:val="clear" w:color="auto" w:fill="FFFFFF"/>
          <w:lang w:val="en-US" w:eastAsia="zh-CN"/>
        </w:rPr>
        <w:t>7</w:t>
      </w:r>
      <w:r>
        <w:rPr>
          <w:rFonts w:hint="eastAsia" w:ascii="宋体" w:hAnsi="宋体" w:cs="宋体"/>
          <w:color w:val="auto"/>
          <w:kern w:val="0"/>
          <w:sz w:val="24"/>
          <w:szCs w:val="24"/>
          <w:shd w:val="clear" w:color="auto" w:fill="FFFFFF"/>
        </w:rPr>
        <w:t>、采购人：蚌埠市第二人民医院</w:t>
      </w:r>
      <w:r>
        <w:rPr>
          <w:rFonts w:hint="eastAsia" w:ascii="宋体" w:hAnsi="宋体" w:cs="宋体"/>
          <w:color w:val="auto"/>
          <w:kern w:val="0"/>
          <w:sz w:val="24"/>
          <w:szCs w:val="24"/>
          <w:shd w:val="clear" w:color="auto" w:fill="FFFFFF"/>
          <w:lang w:eastAsia="zh-CN"/>
        </w:rPr>
        <w:t>；</w:t>
      </w:r>
      <w:r>
        <w:rPr>
          <w:rFonts w:hint="eastAsia" w:ascii="宋体" w:hAnsi="宋体" w:cs="宋体"/>
          <w:color w:val="auto"/>
          <w:kern w:val="0"/>
          <w:sz w:val="24"/>
          <w:szCs w:val="24"/>
          <w:shd w:val="clear" w:color="auto" w:fill="FFFFFF"/>
        </w:rPr>
        <w:t xml:space="preserve">  </w:t>
      </w:r>
    </w:p>
    <w:p>
      <w:pPr>
        <w:widowControl/>
        <w:snapToGrid w:val="0"/>
        <w:spacing w:line="360" w:lineRule="auto"/>
        <w:jc w:val="left"/>
        <w:rPr>
          <w:rFonts w:hint="eastAsia" w:ascii="宋体" w:hAnsi="宋体" w:cs="宋体" w:eastAsiaTheme="minorEastAsia"/>
          <w:color w:val="auto"/>
          <w:kern w:val="0"/>
          <w:sz w:val="24"/>
          <w:szCs w:val="24"/>
          <w:shd w:val="clear" w:color="auto" w:fill="FFFFFF"/>
          <w:lang w:eastAsia="zh-CN"/>
        </w:rPr>
      </w:pPr>
      <w:r>
        <w:rPr>
          <w:rFonts w:hint="eastAsia" w:ascii="宋体" w:hAnsi="宋体" w:cs="宋体"/>
          <w:color w:val="auto"/>
          <w:kern w:val="0"/>
          <w:sz w:val="24"/>
          <w:szCs w:val="24"/>
          <w:shd w:val="clear" w:color="auto" w:fill="FFFFFF"/>
          <w:lang w:val="en-US" w:eastAsia="zh-CN"/>
        </w:rPr>
        <w:t>8</w:t>
      </w:r>
      <w:r>
        <w:rPr>
          <w:rFonts w:hint="eastAsia" w:ascii="宋体" w:hAnsi="宋体" w:cs="宋体"/>
          <w:color w:val="auto"/>
          <w:kern w:val="0"/>
          <w:sz w:val="24"/>
          <w:szCs w:val="24"/>
          <w:shd w:val="clear" w:color="auto" w:fill="FFFFFF"/>
        </w:rPr>
        <w:t>、采购代理机构：安徽省志成建设工程咨询股份有限公司</w:t>
      </w:r>
      <w:r>
        <w:rPr>
          <w:rFonts w:hint="eastAsia" w:ascii="宋体" w:hAnsi="宋体" w:cs="宋体"/>
          <w:color w:val="auto"/>
          <w:kern w:val="0"/>
          <w:sz w:val="24"/>
          <w:szCs w:val="24"/>
          <w:shd w:val="clear" w:color="auto" w:fill="FFFFFF"/>
          <w:lang w:eastAsia="zh-CN"/>
        </w:rPr>
        <w:t>；</w:t>
      </w:r>
    </w:p>
    <w:p>
      <w:pPr>
        <w:widowControl/>
        <w:snapToGrid w:val="0"/>
        <w:spacing w:line="360" w:lineRule="auto"/>
        <w:jc w:val="left"/>
        <w:rPr>
          <w:rFonts w:ascii="宋体" w:hAnsi="宋体" w:cs="宋体"/>
          <w:color w:val="auto"/>
          <w:kern w:val="0"/>
          <w:sz w:val="24"/>
          <w:szCs w:val="24"/>
          <w:shd w:val="clear" w:color="auto" w:fill="FFFFFF"/>
          <w:lang w:val="zh-CN"/>
        </w:rPr>
      </w:pPr>
      <w:r>
        <w:rPr>
          <w:rFonts w:hint="eastAsia" w:ascii="宋体" w:hAnsi="宋体" w:cs="宋体"/>
          <w:color w:val="auto"/>
          <w:kern w:val="0"/>
          <w:sz w:val="24"/>
          <w:szCs w:val="24"/>
          <w:shd w:val="clear" w:color="auto" w:fill="FFFFFF"/>
        </w:rPr>
        <w:t>9、拟采用的评审方法：综合评分法；</w:t>
      </w:r>
    </w:p>
    <w:p>
      <w:pPr>
        <w:widowControl/>
        <w:snapToGrid w:val="0"/>
        <w:spacing w:line="360" w:lineRule="auto"/>
        <w:jc w:val="left"/>
        <w:rPr>
          <w:rFonts w:ascii="宋体" w:hAnsi="宋体" w:cs="宋体"/>
          <w:color w:val="auto"/>
          <w:kern w:val="0"/>
          <w:sz w:val="24"/>
          <w:szCs w:val="24"/>
          <w:shd w:val="clear" w:color="auto" w:fill="FFFFFF"/>
        </w:rPr>
      </w:pPr>
      <w:r>
        <w:rPr>
          <w:rFonts w:hint="eastAsia" w:ascii="宋体" w:hAnsi="宋体" w:cs="宋体"/>
          <w:color w:val="auto"/>
          <w:kern w:val="0"/>
          <w:sz w:val="24"/>
          <w:szCs w:val="24"/>
          <w:shd w:val="clear" w:color="auto" w:fill="FFFFFF"/>
        </w:rPr>
        <w:t>10、付款方式：合作期内整体固定服务费方式，每季度分摊结算一次。每季度按照医院实际消毒的器械量进行付款；</w:t>
      </w:r>
    </w:p>
    <w:p>
      <w:pPr>
        <w:pStyle w:val="14"/>
        <w:widowControl/>
        <w:shd w:val="clear" w:color="auto" w:fill="FFFFFF"/>
        <w:spacing w:beforeAutospacing="0" w:afterAutospacing="0" w:line="360" w:lineRule="auto"/>
        <w:rPr>
          <w:rFonts w:ascii="宋体" w:hAnsi="宋体" w:cs="宋体"/>
          <w:szCs w:val="24"/>
          <w:shd w:val="clear" w:color="auto" w:fill="FFFFFF"/>
        </w:rPr>
      </w:pPr>
      <w:r>
        <w:rPr>
          <w:rFonts w:hint="eastAsia" w:ascii="宋体" w:hAnsi="宋体" w:cs="宋体"/>
          <w:szCs w:val="24"/>
          <w:shd w:val="clear" w:color="auto" w:fill="FFFFFF"/>
        </w:rPr>
        <w:t>12、申请人的资格要求：</w:t>
      </w:r>
    </w:p>
    <w:p>
      <w:pPr>
        <w:pStyle w:val="31"/>
        <w:spacing w:line="360" w:lineRule="auto"/>
        <w:jc w:val="both"/>
        <w:rPr>
          <w:rFonts w:ascii="宋体" w:hAnsi="宋体" w:eastAsia="宋体" w:cs="宋体"/>
          <w:lang w:val="zh-CN"/>
        </w:rPr>
      </w:pPr>
      <w:r>
        <w:rPr>
          <w:rFonts w:hint="eastAsia" w:ascii="宋体" w:hAnsi="宋体" w:eastAsia="宋体" w:cs="宋体"/>
          <w:lang w:val="zh-CN"/>
        </w:rPr>
        <w:t>1.满足《中华人民共和国政府采购法》第二十二条规定；</w:t>
      </w:r>
    </w:p>
    <w:p>
      <w:pPr>
        <w:pStyle w:val="31"/>
        <w:spacing w:line="360" w:lineRule="auto"/>
        <w:jc w:val="both"/>
        <w:rPr>
          <w:rFonts w:ascii="宋体" w:hAnsi="宋体" w:eastAsia="宋体" w:cs="宋体"/>
          <w:lang w:val="zh-CN"/>
        </w:rPr>
      </w:pPr>
      <w:r>
        <w:rPr>
          <w:rFonts w:hint="eastAsia" w:ascii="宋体" w:hAnsi="宋体" w:eastAsia="宋体" w:cs="宋体"/>
          <w:lang w:val="zh-CN"/>
        </w:rPr>
        <w:t>2.落实政府采购政策需满足的资格要求：</w:t>
      </w:r>
      <w:r>
        <w:rPr>
          <w:rFonts w:hint="eastAsia" w:ascii="宋体" w:hAnsi="宋体" w:eastAsia="宋体" w:cs="宋体"/>
          <w:u w:val="single"/>
          <w:lang w:val="zh-CN"/>
        </w:rPr>
        <w:t>无</w:t>
      </w:r>
    </w:p>
    <w:p>
      <w:pPr>
        <w:pStyle w:val="31"/>
        <w:spacing w:line="360" w:lineRule="auto"/>
        <w:jc w:val="both"/>
        <w:rPr>
          <w:rFonts w:ascii="宋体" w:hAnsi="宋体" w:eastAsia="宋体" w:cs="宋体"/>
          <w:lang w:val="zh-CN"/>
        </w:rPr>
      </w:pPr>
      <w:r>
        <w:rPr>
          <w:rFonts w:hint="eastAsia" w:ascii="宋体" w:hAnsi="宋体" w:eastAsia="宋体" w:cs="宋体"/>
          <w:lang w:val="zh-CN"/>
        </w:rPr>
        <w:t>3.本项目的特定资格要求：</w:t>
      </w:r>
    </w:p>
    <w:p>
      <w:pPr>
        <w:pStyle w:val="14"/>
        <w:widowControl/>
        <w:shd w:val="clear" w:color="auto" w:fill="FFFFFF"/>
        <w:spacing w:beforeAutospacing="0" w:afterAutospacing="0" w:line="360" w:lineRule="auto"/>
        <w:rPr>
          <w:rFonts w:hint="eastAsia" w:ascii="宋体" w:hAnsi="宋体" w:eastAsia="宋体" w:cs="宋体"/>
          <w:szCs w:val="24"/>
        </w:rPr>
      </w:pPr>
      <w:r>
        <w:rPr>
          <w:rFonts w:hint="eastAsia" w:ascii="宋体" w:hAnsi="宋体" w:eastAsia="宋体" w:cs="宋体"/>
          <w:szCs w:val="24"/>
        </w:rPr>
        <w:t>1、供应商具备合法有效的企业营业执照。</w:t>
      </w:r>
    </w:p>
    <w:p>
      <w:pPr>
        <w:pStyle w:val="14"/>
        <w:widowControl/>
        <w:shd w:val="clear" w:color="auto" w:fill="FFFFFF"/>
        <w:spacing w:beforeAutospacing="0" w:afterAutospacing="0" w:line="360" w:lineRule="auto"/>
        <w:rPr>
          <w:rFonts w:hint="eastAsia" w:ascii="宋体" w:hAnsi="宋体" w:eastAsia="宋体" w:cs="宋体"/>
          <w:szCs w:val="24"/>
          <w:highlight w:val="none"/>
        </w:rPr>
      </w:pPr>
      <w:r>
        <w:rPr>
          <w:rFonts w:hint="eastAsia" w:ascii="宋体" w:hAnsi="宋体" w:eastAsia="宋体" w:cs="宋体"/>
          <w:szCs w:val="24"/>
          <w:highlight w:val="none"/>
          <w:lang w:val="en-US" w:eastAsia="zh-CN"/>
        </w:rPr>
        <w:t>2</w:t>
      </w:r>
      <w:r>
        <w:rPr>
          <w:rFonts w:hint="eastAsia" w:ascii="宋体" w:hAnsi="宋体" w:eastAsia="宋体" w:cs="宋体"/>
          <w:szCs w:val="24"/>
          <w:highlight w:val="none"/>
        </w:rPr>
        <w:t>、供应商必须具备《医疗机构执业许可证》</w:t>
      </w:r>
    </w:p>
    <w:p>
      <w:pPr>
        <w:pStyle w:val="14"/>
        <w:widowControl/>
        <w:shd w:val="clear" w:color="auto" w:fill="FFFFFF"/>
        <w:spacing w:beforeAutospacing="0" w:afterAutospacing="0" w:line="360" w:lineRule="auto"/>
        <w:rPr>
          <w:rFonts w:hint="eastAsia" w:ascii="宋体" w:hAnsi="宋体" w:eastAsia="宋体" w:cs="宋体"/>
          <w:szCs w:val="24"/>
        </w:rPr>
      </w:pPr>
      <w:r>
        <w:rPr>
          <w:rFonts w:hint="eastAsia" w:ascii="宋体" w:hAnsi="宋体" w:eastAsia="宋体" w:cs="宋体"/>
          <w:szCs w:val="24"/>
          <w:lang w:val="en-US" w:eastAsia="zh-CN"/>
        </w:rPr>
        <w:t>3</w:t>
      </w:r>
      <w:r>
        <w:rPr>
          <w:rFonts w:hint="eastAsia" w:ascii="宋体" w:hAnsi="宋体" w:eastAsia="宋体" w:cs="宋体"/>
          <w:szCs w:val="24"/>
        </w:rPr>
        <w:t>、消毒灭菌后的物资，均需达到以下国家相关行业标准：</w:t>
      </w:r>
    </w:p>
    <w:p>
      <w:pPr>
        <w:pStyle w:val="14"/>
        <w:widowControl/>
        <w:shd w:val="clear" w:color="auto" w:fill="FFFFFF"/>
        <w:spacing w:beforeAutospacing="0" w:afterAutospacing="0" w:line="360" w:lineRule="auto"/>
        <w:rPr>
          <w:rFonts w:hint="eastAsia" w:ascii="宋体" w:hAnsi="宋体" w:eastAsia="宋体" w:cs="宋体"/>
          <w:szCs w:val="24"/>
        </w:rPr>
      </w:pPr>
      <w:r>
        <w:rPr>
          <w:rFonts w:hint="eastAsia" w:ascii="宋体" w:hAnsi="宋体" w:eastAsia="宋体" w:cs="宋体"/>
          <w:szCs w:val="24"/>
          <w:lang w:val="en-US" w:eastAsia="zh-CN"/>
        </w:rPr>
        <w:t>3</w:t>
      </w:r>
      <w:r>
        <w:rPr>
          <w:rFonts w:hint="eastAsia" w:ascii="宋体" w:hAnsi="宋体" w:eastAsia="宋体" w:cs="宋体"/>
          <w:szCs w:val="24"/>
        </w:rPr>
        <w:t>.1中华人民共和国卫生行业标准：WS310.1-2016《医院消毒供应中心第1部分：管理规范》；WS310.2-2016《医院消毒供应中心第2部分：清洗消毒及灭菌技术操作规范》；WS310.3-2016《医院消毒供应中心第3部分：清洗消毒及灭菌效果监测》标准执行；</w:t>
      </w:r>
    </w:p>
    <w:p>
      <w:pPr>
        <w:pStyle w:val="14"/>
        <w:widowControl/>
        <w:shd w:val="clear" w:color="auto" w:fill="FFFFFF"/>
        <w:spacing w:beforeAutospacing="0" w:afterAutospacing="0" w:line="360" w:lineRule="auto"/>
        <w:rPr>
          <w:rFonts w:hint="eastAsia" w:ascii="宋体" w:hAnsi="宋体" w:eastAsia="宋体" w:cs="宋体"/>
          <w:szCs w:val="24"/>
        </w:rPr>
      </w:pPr>
      <w:r>
        <w:rPr>
          <w:rFonts w:hint="eastAsia" w:ascii="宋体" w:hAnsi="宋体" w:eastAsia="宋体" w:cs="宋体"/>
          <w:szCs w:val="24"/>
          <w:lang w:val="en-US" w:eastAsia="zh-CN"/>
        </w:rPr>
        <w:t>3</w:t>
      </w:r>
      <w:r>
        <w:rPr>
          <w:rFonts w:hint="eastAsia" w:ascii="宋体" w:hAnsi="宋体" w:eastAsia="宋体" w:cs="宋体"/>
          <w:szCs w:val="24"/>
        </w:rPr>
        <w:t>.2同时需要符合合同期内更新及新颁布的行业标准规范。</w:t>
      </w:r>
    </w:p>
    <w:p>
      <w:pPr>
        <w:pStyle w:val="14"/>
        <w:widowControl/>
        <w:shd w:val="clear" w:color="auto" w:fill="FFFFFF"/>
        <w:spacing w:beforeAutospacing="0" w:afterAutospacing="0" w:line="360" w:lineRule="auto"/>
        <w:rPr>
          <w:rFonts w:ascii="宋体" w:hAnsi="宋体" w:eastAsia="宋体" w:cs="宋体"/>
          <w:szCs w:val="24"/>
        </w:rPr>
      </w:pPr>
      <w:r>
        <w:rPr>
          <w:rFonts w:hint="eastAsia" w:ascii="宋体" w:hAnsi="宋体" w:eastAsia="宋体" w:cs="宋体"/>
          <w:szCs w:val="24"/>
          <w:lang w:val="en-US" w:eastAsia="zh-CN"/>
        </w:rPr>
        <w:t>4</w:t>
      </w:r>
      <w:r>
        <w:rPr>
          <w:rFonts w:hint="eastAsia" w:ascii="宋体" w:hAnsi="宋体" w:eastAsia="宋体" w:cs="宋体"/>
          <w:szCs w:val="24"/>
        </w:rPr>
        <w:t>、本项目不接受联合体投标；</w:t>
      </w:r>
    </w:p>
    <w:p>
      <w:pPr>
        <w:jc w:val="center"/>
        <w:rPr>
          <w:rFonts w:ascii="宋体" w:hAnsi="宋体" w:cs="宋体"/>
        </w:rPr>
      </w:pPr>
      <w:r>
        <w:rPr>
          <w:rFonts w:hint="eastAsia" w:ascii="宋体" w:hAnsi="宋体" w:eastAsia="宋体" w:cs="宋体"/>
          <w:kern w:val="0"/>
          <w:sz w:val="24"/>
          <w:szCs w:val="24"/>
        </w:rPr>
        <w:t xml:space="preserve"> </w:t>
      </w:r>
      <w:r>
        <w:rPr>
          <w:rFonts w:hint="eastAsia" w:ascii="新宋体" w:hAnsi="新宋体" w:eastAsia="新宋体" w:cs="方正小标宋简体"/>
          <w:b/>
          <w:sz w:val="32"/>
          <w:szCs w:val="36"/>
        </w:rPr>
        <w:t xml:space="preserve"> </w:t>
      </w:r>
      <w:r>
        <w:rPr>
          <w:rFonts w:hint="eastAsia" w:ascii="宋体" w:hAnsi="宋体" w:cs="宋体"/>
        </w:rPr>
        <w:br w:type="page"/>
      </w:r>
    </w:p>
    <w:p>
      <w:pPr>
        <w:pStyle w:val="2"/>
        <w:widowControl/>
        <w:snapToGrid w:val="0"/>
        <w:spacing w:before="0" w:after="0" w:line="360" w:lineRule="auto"/>
        <w:jc w:val="center"/>
        <w:rPr>
          <w:rFonts w:ascii="宋体" w:hAnsi="宋体" w:cs="宋体"/>
        </w:rPr>
      </w:pPr>
      <w:r>
        <w:rPr>
          <w:rFonts w:hint="eastAsia" w:ascii="宋体" w:hAnsi="宋体" w:cs="宋体"/>
        </w:rPr>
        <w:t>蚌埠二院消毒供应中心服务外包项目采购需求</w:t>
      </w:r>
    </w:p>
    <w:p>
      <w:pPr>
        <w:spacing w:line="360" w:lineRule="auto"/>
        <w:ind w:firstLine="482" w:firstLineChars="200"/>
        <w:rPr>
          <w:rFonts w:hint="eastAsia" w:ascii="宋体" w:hAnsi="宋体"/>
          <w:b/>
          <w:sz w:val="24"/>
        </w:rPr>
      </w:pPr>
      <w:r>
        <w:rPr>
          <w:rFonts w:hint="eastAsia" w:ascii="宋体" w:hAnsi="宋体"/>
          <w:b/>
          <w:bCs/>
          <w:sz w:val="24"/>
        </w:rPr>
        <w:t>一、</w:t>
      </w:r>
      <w:r>
        <w:rPr>
          <w:rFonts w:hint="eastAsia" w:ascii="宋体" w:hAnsi="宋体"/>
          <w:b/>
          <w:sz w:val="24"/>
        </w:rPr>
        <w:t>服务遵循的行业标准</w:t>
      </w:r>
    </w:p>
    <w:p>
      <w:pPr>
        <w:spacing w:line="360" w:lineRule="auto"/>
        <w:ind w:firstLine="480" w:firstLineChars="200"/>
        <w:rPr>
          <w:rFonts w:hint="eastAsia" w:ascii="宋体" w:hAnsi="宋体"/>
          <w:sz w:val="24"/>
        </w:rPr>
      </w:pPr>
      <w:r>
        <w:rPr>
          <w:rFonts w:hint="eastAsia" w:ascii="宋体" w:hAnsi="宋体"/>
          <w:sz w:val="24"/>
        </w:rPr>
        <w:t>1．国际标准：ISO 13485:2016 医疗器械质量体系常规要求</w:t>
      </w:r>
    </w:p>
    <w:p>
      <w:pPr>
        <w:spacing w:line="360" w:lineRule="auto"/>
        <w:ind w:firstLine="480" w:firstLineChars="200"/>
        <w:rPr>
          <w:rFonts w:hint="eastAsia" w:ascii="宋体" w:hAnsi="宋体"/>
          <w:sz w:val="24"/>
        </w:rPr>
      </w:pPr>
      <w:r>
        <w:rPr>
          <w:rFonts w:hint="eastAsia" w:ascii="宋体" w:hAnsi="宋体"/>
          <w:sz w:val="24"/>
        </w:rPr>
        <w:t>2．国内标准：中华人民共和国卫生行业标准WS310-2016</w:t>
      </w:r>
    </w:p>
    <w:p>
      <w:pPr>
        <w:spacing w:line="360" w:lineRule="auto"/>
        <w:ind w:firstLine="480" w:firstLineChars="200"/>
        <w:rPr>
          <w:rFonts w:hint="eastAsia" w:ascii="宋体" w:hAnsi="宋体"/>
          <w:sz w:val="24"/>
        </w:rPr>
      </w:pPr>
      <w:r>
        <w:rPr>
          <w:rFonts w:hint="eastAsia" w:ascii="宋体" w:hAnsi="宋体"/>
          <w:sz w:val="24"/>
        </w:rPr>
        <w:t>3．地方标准：省消毒供应室验收标准</w:t>
      </w:r>
    </w:p>
    <w:p>
      <w:pPr>
        <w:ind w:firstLine="482" w:firstLineChars="200"/>
        <w:rPr>
          <w:rFonts w:ascii="宋体" w:hAnsi="宋体"/>
          <w:b/>
          <w:bCs/>
          <w:sz w:val="24"/>
        </w:rPr>
      </w:pPr>
      <w:r>
        <w:rPr>
          <w:rFonts w:hint="eastAsia" w:ascii="宋体" w:hAnsi="宋体"/>
          <w:b/>
          <w:bCs/>
          <w:sz w:val="24"/>
        </w:rPr>
        <w:t>二、项目概述</w:t>
      </w:r>
    </w:p>
    <w:p>
      <w:pPr>
        <w:spacing w:line="360" w:lineRule="auto"/>
        <w:ind w:firstLine="480" w:firstLineChars="200"/>
        <w:rPr>
          <w:rFonts w:hint="eastAsia" w:ascii="宋体" w:hAnsi="宋体"/>
          <w:sz w:val="24"/>
        </w:rPr>
      </w:pPr>
      <w:r>
        <w:rPr>
          <w:rFonts w:hint="eastAsia" w:ascii="宋体" w:hAnsi="宋体"/>
          <w:sz w:val="24"/>
        </w:rPr>
        <w:t>1、床位数：855张、全年手术台次10000+、器械及敷料总量：60万件左右 ;</w:t>
      </w:r>
    </w:p>
    <w:p>
      <w:pPr>
        <w:spacing w:line="360" w:lineRule="auto"/>
        <w:ind w:firstLine="480" w:firstLineChars="200"/>
        <w:rPr>
          <w:rFonts w:hint="eastAsia" w:ascii="宋体" w:hAnsi="宋体" w:eastAsiaTheme="minorEastAsia"/>
          <w:sz w:val="24"/>
          <w:lang w:eastAsia="zh-CN"/>
        </w:rPr>
      </w:pPr>
      <w:r>
        <w:rPr>
          <w:rFonts w:hint="eastAsia" w:ascii="宋体" w:hAnsi="宋体"/>
          <w:sz w:val="24"/>
        </w:rPr>
        <w:t>2、</w:t>
      </w:r>
      <w:r>
        <w:rPr>
          <w:rFonts w:hint="eastAsia" w:ascii="宋体" w:hAnsi="宋体"/>
          <w:b/>
          <w:sz w:val="24"/>
        </w:rPr>
        <w:t>投标预算价</w:t>
      </w:r>
      <w:r>
        <w:rPr>
          <w:rFonts w:hint="eastAsia" w:ascii="宋体" w:hAnsi="宋体"/>
          <w:sz w:val="24"/>
        </w:rPr>
        <w:t>：360.3万元/年；</w:t>
      </w:r>
      <w:r>
        <w:rPr>
          <w:rFonts w:hint="eastAsia" w:cs="宋体"/>
          <w:b/>
          <w:bCs/>
          <w:kern w:val="0"/>
          <w:lang w:val="en-US" w:eastAsia="zh-CN"/>
        </w:rPr>
        <w:t xml:space="preserve"> </w:t>
      </w:r>
    </w:p>
    <w:tbl>
      <w:tblPr>
        <w:tblStyle w:val="17"/>
        <w:tblW w:w="0" w:type="auto"/>
        <w:tblInd w:w="93" w:type="dxa"/>
        <w:tblLayout w:type="autofit"/>
        <w:tblCellMar>
          <w:top w:w="0" w:type="dxa"/>
          <w:left w:w="108" w:type="dxa"/>
          <w:bottom w:w="0" w:type="dxa"/>
          <w:right w:w="108" w:type="dxa"/>
        </w:tblCellMar>
      </w:tblPr>
      <w:tblGrid>
        <w:gridCol w:w="1656"/>
        <w:gridCol w:w="1656"/>
        <w:gridCol w:w="1077"/>
        <w:gridCol w:w="1522"/>
        <w:gridCol w:w="1395"/>
        <w:gridCol w:w="638"/>
      </w:tblGrid>
      <w:tr>
        <w:tblPrEx>
          <w:tblCellMar>
            <w:top w:w="0" w:type="dxa"/>
            <w:left w:w="108" w:type="dxa"/>
            <w:bottom w:w="0" w:type="dxa"/>
            <w:right w:w="108" w:type="dxa"/>
          </w:tblCellMar>
        </w:tblPrEx>
        <w:trPr>
          <w:trHeight w:val="405" w:hRule="atLeast"/>
        </w:trPr>
        <w:tc>
          <w:tcPr>
            <w:tcW w:w="0" w:type="auto"/>
            <w:tcBorders>
              <w:top w:val="single" w:color="auto" w:sz="4" w:space="0"/>
              <w:left w:val="single" w:color="auto" w:sz="4" w:space="0"/>
              <w:bottom w:val="single" w:color="auto" w:sz="4" w:space="0"/>
              <w:right w:val="single" w:color="auto" w:sz="4" w:space="0"/>
            </w:tcBorders>
            <w:noWrap/>
            <w:vAlign w:val="center"/>
          </w:tcPr>
          <w:p>
            <w:pPr>
              <w:widowControl/>
              <w:jc w:val="center"/>
              <w:rPr>
                <w:rFonts w:cs="宋体"/>
                <w:b/>
                <w:bCs/>
                <w:kern w:val="0"/>
              </w:rPr>
            </w:pPr>
            <w:r>
              <w:rPr>
                <w:rFonts w:hint="eastAsia" w:cs="宋体"/>
                <w:b/>
                <w:bCs/>
                <w:kern w:val="0"/>
              </w:rPr>
              <w:t>类别</w:t>
            </w:r>
          </w:p>
        </w:tc>
        <w:tc>
          <w:tcPr>
            <w:tcW w:w="0" w:type="auto"/>
            <w:tcBorders>
              <w:top w:val="single" w:color="auto" w:sz="4" w:space="0"/>
              <w:left w:val="nil"/>
              <w:bottom w:val="single" w:color="auto" w:sz="4" w:space="0"/>
              <w:right w:val="single" w:color="auto" w:sz="4" w:space="0"/>
            </w:tcBorders>
            <w:noWrap/>
            <w:vAlign w:val="center"/>
          </w:tcPr>
          <w:p>
            <w:pPr>
              <w:widowControl/>
              <w:jc w:val="center"/>
              <w:rPr>
                <w:rFonts w:cs="宋体"/>
                <w:b/>
                <w:bCs/>
                <w:kern w:val="0"/>
              </w:rPr>
            </w:pPr>
            <w:r>
              <w:rPr>
                <w:rFonts w:hint="eastAsia" w:cs="宋体"/>
                <w:b/>
                <w:bCs/>
                <w:kern w:val="0"/>
              </w:rPr>
              <w:t>类型</w:t>
            </w:r>
          </w:p>
        </w:tc>
        <w:tc>
          <w:tcPr>
            <w:tcW w:w="1077" w:type="dxa"/>
            <w:tcBorders>
              <w:top w:val="single" w:color="auto" w:sz="4" w:space="0"/>
              <w:left w:val="nil"/>
              <w:bottom w:val="single" w:color="auto" w:sz="4" w:space="0"/>
              <w:right w:val="single" w:color="auto" w:sz="4" w:space="0"/>
            </w:tcBorders>
            <w:noWrap w:val="0"/>
            <w:vAlign w:val="top"/>
          </w:tcPr>
          <w:p>
            <w:pPr>
              <w:widowControl/>
              <w:jc w:val="center"/>
              <w:rPr>
                <w:rFonts w:hint="eastAsia" w:cs="宋体"/>
                <w:b/>
                <w:bCs/>
                <w:kern w:val="0"/>
              </w:rPr>
            </w:pPr>
            <w:r>
              <w:rPr>
                <w:rFonts w:hint="eastAsia" w:cs="宋体"/>
                <w:b/>
                <w:bCs/>
                <w:kern w:val="0"/>
              </w:rPr>
              <w:t>预算</w:t>
            </w:r>
            <w:r>
              <w:rPr>
                <w:rFonts w:hint="eastAsia" w:cs="宋体"/>
                <w:b/>
                <w:bCs/>
                <w:kern w:val="0"/>
                <w:lang w:val="en-US" w:eastAsia="zh-CN"/>
              </w:rPr>
              <w:t>单</w:t>
            </w:r>
            <w:r>
              <w:rPr>
                <w:rFonts w:hint="eastAsia" w:cs="宋体"/>
                <w:b/>
                <w:bCs/>
                <w:kern w:val="0"/>
              </w:rPr>
              <w:t>价</w:t>
            </w:r>
          </w:p>
        </w:tc>
        <w:tc>
          <w:tcPr>
            <w:tcW w:w="152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cs="宋体"/>
                <w:b/>
                <w:bCs/>
                <w:kern w:val="0"/>
              </w:rPr>
            </w:pPr>
            <w:r>
              <w:rPr>
                <w:rFonts w:hint="eastAsia" w:cs="宋体"/>
                <w:b/>
                <w:bCs/>
                <w:kern w:val="0"/>
                <w:lang w:val="en-US" w:eastAsia="zh-CN"/>
              </w:rPr>
              <w:t>预算</w:t>
            </w:r>
            <w:r>
              <w:rPr>
                <w:rFonts w:hint="eastAsia" w:cs="宋体"/>
                <w:b/>
                <w:bCs/>
                <w:kern w:val="0"/>
              </w:rPr>
              <w:t>总量</w:t>
            </w:r>
          </w:p>
        </w:tc>
        <w:tc>
          <w:tcPr>
            <w:tcW w:w="1395" w:type="dxa"/>
            <w:tcBorders>
              <w:top w:val="single" w:color="auto" w:sz="4" w:space="0"/>
              <w:left w:val="nil"/>
              <w:bottom w:val="single" w:color="auto" w:sz="4" w:space="0"/>
              <w:right w:val="single" w:color="auto" w:sz="4" w:space="0"/>
            </w:tcBorders>
            <w:noWrap w:val="0"/>
            <w:vAlign w:val="center"/>
          </w:tcPr>
          <w:p>
            <w:pPr>
              <w:widowControl/>
              <w:jc w:val="center"/>
              <w:rPr>
                <w:rFonts w:hint="eastAsia" w:cs="宋体"/>
                <w:b/>
                <w:bCs/>
                <w:kern w:val="0"/>
                <w:lang w:val="en-US" w:eastAsia="zh-CN"/>
              </w:rPr>
            </w:pPr>
            <w:r>
              <w:rPr>
                <w:rFonts w:hint="eastAsia" w:cs="宋体"/>
                <w:b/>
                <w:bCs/>
                <w:kern w:val="0"/>
                <w:lang w:val="en-US" w:eastAsia="zh-CN"/>
              </w:rPr>
              <w:t>总预算</w:t>
            </w:r>
          </w:p>
          <w:p>
            <w:pPr>
              <w:widowControl/>
              <w:jc w:val="center"/>
              <w:rPr>
                <w:rFonts w:cs="宋体"/>
                <w:b/>
                <w:bCs/>
                <w:kern w:val="0"/>
              </w:rPr>
            </w:pPr>
            <w:r>
              <w:rPr>
                <w:rFonts w:hint="eastAsia" w:cs="宋体"/>
                <w:b/>
                <w:bCs/>
                <w:kern w:val="0"/>
              </w:rPr>
              <w:t>（万元）</w:t>
            </w:r>
          </w:p>
        </w:tc>
        <w:tc>
          <w:tcPr>
            <w:tcW w:w="0" w:type="auto"/>
            <w:tcBorders>
              <w:top w:val="single" w:color="auto" w:sz="4" w:space="0"/>
              <w:left w:val="nil"/>
              <w:bottom w:val="single" w:color="auto" w:sz="4" w:space="0"/>
              <w:right w:val="single" w:color="auto" w:sz="4" w:space="0"/>
            </w:tcBorders>
            <w:noWrap w:val="0"/>
            <w:vAlign w:val="top"/>
          </w:tcPr>
          <w:p>
            <w:pPr>
              <w:widowControl/>
              <w:jc w:val="center"/>
              <w:rPr>
                <w:rFonts w:hint="eastAsia" w:cs="宋体" w:eastAsiaTheme="minorEastAsia"/>
                <w:b/>
                <w:bCs/>
                <w:kern w:val="0"/>
                <w:lang w:val="en-US" w:eastAsia="zh-CN"/>
              </w:rPr>
            </w:pPr>
            <w:r>
              <w:rPr>
                <w:rFonts w:hint="eastAsia" w:cs="宋体"/>
                <w:b/>
                <w:bCs/>
                <w:kern w:val="0"/>
                <w:lang w:val="en-US" w:eastAsia="zh-CN"/>
              </w:rPr>
              <w:t>备注</w:t>
            </w:r>
          </w:p>
        </w:tc>
      </w:tr>
      <w:tr>
        <w:tblPrEx>
          <w:tblCellMar>
            <w:top w:w="0" w:type="dxa"/>
            <w:left w:w="108" w:type="dxa"/>
            <w:bottom w:w="0" w:type="dxa"/>
            <w:right w:w="108" w:type="dxa"/>
          </w:tblCellMar>
        </w:tblPrEx>
        <w:trPr>
          <w:trHeight w:val="405" w:hRule="atLeast"/>
        </w:trPr>
        <w:tc>
          <w:tcPr>
            <w:tcW w:w="0" w:type="auto"/>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cs="宋体"/>
                <w:kern w:val="0"/>
                <w:sz w:val="24"/>
              </w:rPr>
            </w:pPr>
            <w:r>
              <w:rPr>
                <w:rFonts w:hint="eastAsia" w:cs="宋体"/>
                <w:kern w:val="0"/>
                <w:sz w:val="24"/>
              </w:rPr>
              <w:t>高温灭菌</w:t>
            </w:r>
            <w:r>
              <w:rPr>
                <w:rFonts w:hint="eastAsia" w:cs="宋体"/>
                <w:kern w:val="0"/>
                <w:sz w:val="24"/>
              </w:rPr>
              <w:br w:type="textWrapping"/>
            </w:r>
            <w:r>
              <w:rPr>
                <w:rFonts w:hint="eastAsia" w:cs="宋体"/>
                <w:kern w:val="0"/>
                <w:sz w:val="24"/>
              </w:rPr>
              <w:t>器械/敷料</w:t>
            </w:r>
          </w:p>
        </w:tc>
        <w:tc>
          <w:tcPr>
            <w:tcW w:w="0" w:type="auto"/>
            <w:tcBorders>
              <w:top w:val="single" w:color="auto" w:sz="4" w:space="0"/>
              <w:left w:val="nil"/>
              <w:bottom w:val="single" w:color="auto" w:sz="4" w:space="0"/>
              <w:right w:val="single" w:color="auto" w:sz="4" w:space="0"/>
            </w:tcBorders>
            <w:noWrap/>
            <w:vAlign w:val="center"/>
          </w:tcPr>
          <w:p>
            <w:pPr>
              <w:widowControl/>
              <w:jc w:val="center"/>
              <w:rPr>
                <w:rFonts w:cs="宋体"/>
                <w:kern w:val="0"/>
                <w:sz w:val="24"/>
              </w:rPr>
            </w:pPr>
            <w:r>
              <w:rPr>
                <w:rFonts w:hint="eastAsia" w:cs="宋体"/>
                <w:kern w:val="0"/>
                <w:sz w:val="24"/>
              </w:rPr>
              <w:t>普通常规器械</w:t>
            </w:r>
          </w:p>
        </w:tc>
        <w:tc>
          <w:tcPr>
            <w:tcW w:w="1077" w:type="dxa"/>
            <w:tcBorders>
              <w:top w:val="single" w:color="auto" w:sz="4" w:space="0"/>
              <w:left w:val="nil"/>
              <w:bottom w:val="single" w:color="auto" w:sz="4" w:space="0"/>
              <w:right w:val="single" w:color="auto" w:sz="4" w:space="0"/>
            </w:tcBorders>
            <w:noWrap w:val="0"/>
            <w:vAlign w:val="top"/>
          </w:tcPr>
          <w:p>
            <w:pPr>
              <w:rPr>
                <w:rFonts w:hint="eastAsia"/>
              </w:rPr>
            </w:pPr>
            <w:r>
              <w:rPr>
                <w:rFonts w:hint="eastAsia"/>
              </w:rPr>
              <w:t>4.4元/把</w:t>
            </w:r>
          </w:p>
        </w:tc>
        <w:tc>
          <w:tcPr>
            <w:tcW w:w="152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cs="宋体"/>
                <w:color w:val="auto"/>
                <w:kern w:val="0"/>
                <w:sz w:val="26"/>
                <w:szCs w:val="26"/>
              </w:rPr>
            </w:pPr>
            <w:r>
              <w:rPr>
                <w:rFonts w:hint="eastAsia" w:cs="宋体"/>
                <w:color w:val="auto"/>
                <w:kern w:val="0"/>
                <w:sz w:val="26"/>
                <w:szCs w:val="26"/>
              </w:rPr>
              <w:t>50万件</w:t>
            </w:r>
          </w:p>
        </w:tc>
        <w:tc>
          <w:tcPr>
            <w:tcW w:w="1395" w:type="dxa"/>
            <w:tcBorders>
              <w:top w:val="single" w:color="auto" w:sz="4" w:space="0"/>
              <w:left w:val="nil"/>
              <w:bottom w:val="single" w:color="auto" w:sz="4" w:space="0"/>
              <w:right w:val="single" w:color="auto" w:sz="4" w:space="0"/>
            </w:tcBorders>
            <w:noWrap w:val="0"/>
            <w:vAlign w:val="center"/>
          </w:tcPr>
          <w:p>
            <w:pPr>
              <w:widowControl/>
              <w:jc w:val="center"/>
              <w:rPr>
                <w:rFonts w:cs="宋体"/>
                <w:kern w:val="0"/>
                <w:sz w:val="26"/>
                <w:szCs w:val="26"/>
              </w:rPr>
            </w:pPr>
            <w:r>
              <w:rPr>
                <w:rFonts w:hint="eastAsia" w:cs="宋体"/>
                <w:kern w:val="0"/>
                <w:sz w:val="26"/>
                <w:szCs w:val="26"/>
              </w:rPr>
              <w:t>220</w:t>
            </w:r>
          </w:p>
        </w:tc>
        <w:tc>
          <w:tcPr>
            <w:tcW w:w="0" w:type="auto"/>
            <w:tcBorders>
              <w:top w:val="single" w:color="auto" w:sz="4" w:space="0"/>
              <w:left w:val="nil"/>
              <w:bottom w:val="single" w:color="auto" w:sz="4" w:space="0"/>
              <w:right w:val="single" w:color="auto" w:sz="4" w:space="0"/>
            </w:tcBorders>
            <w:noWrap w:val="0"/>
            <w:vAlign w:val="top"/>
          </w:tcPr>
          <w:p>
            <w:pPr>
              <w:widowControl/>
              <w:jc w:val="center"/>
              <w:rPr>
                <w:rFonts w:hint="eastAsia" w:cs="宋体"/>
                <w:kern w:val="0"/>
                <w:sz w:val="26"/>
                <w:szCs w:val="26"/>
              </w:rPr>
            </w:pPr>
          </w:p>
        </w:tc>
      </w:tr>
      <w:tr>
        <w:tblPrEx>
          <w:tblCellMar>
            <w:top w:w="0" w:type="dxa"/>
            <w:left w:w="108" w:type="dxa"/>
            <w:bottom w:w="0" w:type="dxa"/>
            <w:right w:w="108" w:type="dxa"/>
          </w:tblCellMar>
        </w:tblPrEx>
        <w:trPr>
          <w:trHeight w:val="510"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宋体"/>
                <w:kern w:val="0"/>
                <w:sz w:val="24"/>
              </w:rPr>
            </w:pPr>
          </w:p>
        </w:tc>
        <w:tc>
          <w:tcPr>
            <w:tcW w:w="0" w:type="auto"/>
            <w:tcBorders>
              <w:top w:val="nil"/>
              <w:left w:val="nil"/>
              <w:bottom w:val="single" w:color="auto" w:sz="4" w:space="0"/>
              <w:right w:val="single" w:color="auto" w:sz="4" w:space="0"/>
            </w:tcBorders>
            <w:noWrap/>
            <w:vAlign w:val="center"/>
          </w:tcPr>
          <w:p>
            <w:pPr>
              <w:widowControl/>
              <w:jc w:val="center"/>
              <w:rPr>
                <w:rFonts w:cs="宋体"/>
                <w:kern w:val="0"/>
                <w:sz w:val="24"/>
              </w:rPr>
            </w:pPr>
            <w:r>
              <w:rPr>
                <w:rFonts w:hint="eastAsia" w:cs="宋体"/>
                <w:kern w:val="0"/>
                <w:sz w:val="24"/>
              </w:rPr>
              <w:t>外来器械</w:t>
            </w:r>
          </w:p>
        </w:tc>
        <w:tc>
          <w:tcPr>
            <w:tcW w:w="1077" w:type="dxa"/>
            <w:tcBorders>
              <w:top w:val="nil"/>
              <w:left w:val="nil"/>
              <w:bottom w:val="single" w:color="auto" w:sz="4" w:space="0"/>
              <w:right w:val="single" w:color="auto" w:sz="4" w:space="0"/>
            </w:tcBorders>
            <w:noWrap w:val="0"/>
            <w:vAlign w:val="top"/>
          </w:tcPr>
          <w:p>
            <w:pPr>
              <w:rPr>
                <w:rFonts w:hint="eastAsia"/>
              </w:rPr>
            </w:pPr>
            <w:r>
              <w:rPr>
                <w:rFonts w:hint="eastAsia"/>
              </w:rPr>
              <w:t>110元/盒</w:t>
            </w:r>
          </w:p>
        </w:tc>
        <w:tc>
          <w:tcPr>
            <w:tcW w:w="1522" w:type="dxa"/>
            <w:tcBorders>
              <w:top w:val="nil"/>
              <w:left w:val="single" w:color="auto" w:sz="4" w:space="0"/>
              <w:bottom w:val="single" w:color="auto" w:sz="4" w:space="0"/>
              <w:right w:val="single" w:color="auto" w:sz="4" w:space="0"/>
            </w:tcBorders>
            <w:noWrap/>
            <w:vAlign w:val="center"/>
          </w:tcPr>
          <w:p>
            <w:pPr>
              <w:widowControl/>
              <w:jc w:val="center"/>
              <w:rPr>
                <w:rFonts w:cs="宋体"/>
                <w:color w:val="auto"/>
                <w:kern w:val="0"/>
                <w:sz w:val="24"/>
              </w:rPr>
            </w:pPr>
            <w:r>
              <w:rPr>
                <w:rFonts w:hint="eastAsia" w:cs="宋体"/>
                <w:color w:val="auto"/>
                <w:kern w:val="0"/>
                <w:sz w:val="24"/>
              </w:rPr>
              <w:t>700盒</w:t>
            </w:r>
          </w:p>
        </w:tc>
        <w:tc>
          <w:tcPr>
            <w:tcW w:w="1395" w:type="dxa"/>
            <w:tcBorders>
              <w:top w:val="nil"/>
              <w:left w:val="nil"/>
              <w:bottom w:val="single" w:color="auto" w:sz="4" w:space="0"/>
              <w:right w:val="single" w:color="auto" w:sz="4" w:space="0"/>
            </w:tcBorders>
            <w:noWrap/>
            <w:vAlign w:val="center"/>
          </w:tcPr>
          <w:p>
            <w:pPr>
              <w:widowControl/>
              <w:jc w:val="center"/>
              <w:rPr>
                <w:rFonts w:cs="宋体"/>
                <w:kern w:val="0"/>
                <w:sz w:val="24"/>
              </w:rPr>
            </w:pPr>
            <w:r>
              <w:rPr>
                <w:rFonts w:hint="eastAsia" w:cs="宋体"/>
                <w:kern w:val="0"/>
                <w:sz w:val="24"/>
              </w:rPr>
              <w:t>7.7</w:t>
            </w:r>
          </w:p>
        </w:tc>
        <w:tc>
          <w:tcPr>
            <w:tcW w:w="0" w:type="auto"/>
            <w:tcBorders>
              <w:top w:val="nil"/>
              <w:left w:val="nil"/>
              <w:bottom w:val="single" w:color="auto" w:sz="4" w:space="0"/>
              <w:right w:val="single" w:color="auto" w:sz="4" w:space="0"/>
            </w:tcBorders>
            <w:noWrap w:val="0"/>
            <w:vAlign w:val="top"/>
          </w:tcPr>
          <w:p>
            <w:pPr>
              <w:widowControl/>
              <w:jc w:val="center"/>
              <w:rPr>
                <w:rFonts w:hint="eastAsia" w:cs="宋体"/>
                <w:kern w:val="0"/>
                <w:sz w:val="24"/>
              </w:rPr>
            </w:pPr>
          </w:p>
        </w:tc>
      </w:tr>
      <w:tr>
        <w:tblPrEx>
          <w:tblCellMar>
            <w:top w:w="0" w:type="dxa"/>
            <w:left w:w="108" w:type="dxa"/>
            <w:bottom w:w="0" w:type="dxa"/>
            <w:right w:w="108" w:type="dxa"/>
          </w:tblCellMar>
        </w:tblPrEx>
        <w:trPr>
          <w:trHeight w:val="405"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宋体"/>
                <w:kern w:val="0"/>
                <w:sz w:val="24"/>
              </w:rPr>
            </w:pPr>
          </w:p>
        </w:tc>
        <w:tc>
          <w:tcPr>
            <w:tcW w:w="0" w:type="auto"/>
            <w:tcBorders>
              <w:top w:val="nil"/>
              <w:left w:val="nil"/>
              <w:bottom w:val="single" w:color="auto" w:sz="4" w:space="0"/>
              <w:right w:val="single" w:color="auto" w:sz="4" w:space="0"/>
            </w:tcBorders>
            <w:noWrap/>
            <w:vAlign w:val="center"/>
          </w:tcPr>
          <w:p>
            <w:pPr>
              <w:widowControl/>
              <w:jc w:val="center"/>
              <w:rPr>
                <w:rFonts w:cs="宋体"/>
                <w:kern w:val="0"/>
                <w:sz w:val="24"/>
              </w:rPr>
            </w:pPr>
            <w:r>
              <w:rPr>
                <w:rFonts w:hint="eastAsia" w:cs="宋体"/>
                <w:kern w:val="0"/>
                <w:sz w:val="24"/>
              </w:rPr>
              <w:t>敷料灭菌</w:t>
            </w:r>
          </w:p>
        </w:tc>
        <w:tc>
          <w:tcPr>
            <w:tcW w:w="1077" w:type="dxa"/>
            <w:tcBorders>
              <w:top w:val="nil"/>
              <w:left w:val="nil"/>
              <w:bottom w:val="single" w:color="auto" w:sz="4" w:space="0"/>
              <w:right w:val="single" w:color="auto" w:sz="4" w:space="0"/>
            </w:tcBorders>
            <w:noWrap w:val="0"/>
            <w:vAlign w:val="top"/>
          </w:tcPr>
          <w:p>
            <w:pPr>
              <w:rPr>
                <w:rFonts w:hint="eastAsia"/>
              </w:rPr>
            </w:pPr>
            <w:r>
              <w:rPr>
                <w:rFonts w:hint="eastAsia"/>
              </w:rPr>
              <w:t>20元/包</w:t>
            </w:r>
          </w:p>
        </w:tc>
        <w:tc>
          <w:tcPr>
            <w:tcW w:w="1522" w:type="dxa"/>
            <w:tcBorders>
              <w:top w:val="nil"/>
              <w:left w:val="single" w:color="auto" w:sz="4" w:space="0"/>
              <w:bottom w:val="single" w:color="auto" w:sz="4" w:space="0"/>
              <w:right w:val="single" w:color="auto" w:sz="4" w:space="0"/>
            </w:tcBorders>
            <w:noWrap w:val="0"/>
            <w:vAlign w:val="center"/>
          </w:tcPr>
          <w:p>
            <w:pPr>
              <w:widowControl/>
              <w:jc w:val="center"/>
              <w:rPr>
                <w:rFonts w:cs="宋体"/>
                <w:color w:val="auto"/>
                <w:kern w:val="0"/>
                <w:sz w:val="26"/>
                <w:szCs w:val="26"/>
              </w:rPr>
            </w:pPr>
            <w:r>
              <w:rPr>
                <w:rFonts w:hint="eastAsia" w:cs="宋体"/>
                <w:color w:val="auto"/>
                <w:kern w:val="0"/>
                <w:sz w:val="26"/>
                <w:szCs w:val="26"/>
              </w:rPr>
              <w:t>1.2万包</w:t>
            </w:r>
          </w:p>
        </w:tc>
        <w:tc>
          <w:tcPr>
            <w:tcW w:w="1395" w:type="dxa"/>
            <w:tcBorders>
              <w:top w:val="nil"/>
              <w:left w:val="nil"/>
              <w:bottom w:val="single" w:color="auto" w:sz="4" w:space="0"/>
              <w:right w:val="single" w:color="auto" w:sz="4" w:space="0"/>
            </w:tcBorders>
            <w:noWrap w:val="0"/>
            <w:vAlign w:val="center"/>
          </w:tcPr>
          <w:p>
            <w:pPr>
              <w:widowControl/>
              <w:jc w:val="center"/>
              <w:rPr>
                <w:rFonts w:cs="宋体"/>
                <w:kern w:val="0"/>
                <w:sz w:val="26"/>
                <w:szCs w:val="26"/>
              </w:rPr>
            </w:pPr>
            <w:r>
              <w:rPr>
                <w:rFonts w:hint="eastAsia" w:cs="宋体"/>
                <w:kern w:val="0"/>
                <w:sz w:val="26"/>
                <w:szCs w:val="26"/>
              </w:rPr>
              <w:t>24</w:t>
            </w:r>
          </w:p>
        </w:tc>
        <w:tc>
          <w:tcPr>
            <w:tcW w:w="0" w:type="auto"/>
            <w:tcBorders>
              <w:top w:val="nil"/>
              <w:left w:val="nil"/>
              <w:bottom w:val="single" w:color="auto" w:sz="4" w:space="0"/>
              <w:right w:val="single" w:color="auto" w:sz="4" w:space="0"/>
            </w:tcBorders>
            <w:noWrap w:val="0"/>
            <w:vAlign w:val="top"/>
          </w:tcPr>
          <w:p>
            <w:pPr>
              <w:widowControl/>
              <w:jc w:val="center"/>
              <w:rPr>
                <w:rFonts w:hint="eastAsia" w:cs="宋体"/>
                <w:kern w:val="0"/>
                <w:sz w:val="26"/>
                <w:szCs w:val="26"/>
              </w:rPr>
            </w:pPr>
          </w:p>
        </w:tc>
      </w:tr>
      <w:tr>
        <w:tblPrEx>
          <w:tblCellMar>
            <w:top w:w="0" w:type="dxa"/>
            <w:left w:w="108" w:type="dxa"/>
            <w:bottom w:w="0" w:type="dxa"/>
            <w:right w:w="108" w:type="dxa"/>
          </w:tblCellMar>
        </w:tblPrEx>
        <w:trPr>
          <w:trHeight w:val="495" w:hRule="atLeast"/>
        </w:trPr>
        <w:tc>
          <w:tcPr>
            <w:tcW w:w="0" w:type="auto"/>
            <w:vMerge w:val="restart"/>
            <w:tcBorders>
              <w:top w:val="nil"/>
              <w:left w:val="single" w:color="auto" w:sz="4" w:space="0"/>
              <w:right w:val="single" w:color="auto" w:sz="4" w:space="0"/>
            </w:tcBorders>
            <w:noWrap w:val="0"/>
            <w:vAlign w:val="center"/>
          </w:tcPr>
          <w:p>
            <w:pPr>
              <w:widowControl/>
              <w:jc w:val="center"/>
              <w:rPr>
                <w:rFonts w:cs="宋体"/>
                <w:kern w:val="0"/>
                <w:sz w:val="24"/>
              </w:rPr>
            </w:pPr>
            <w:r>
              <w:rPr>
                <w:rFonts w:hint="eastAsia" w:cs="宋体"/>
                <w:kern w:val="0"/>
                <w:sz w:val="24"/>
              </w:rPr>
              <w:t>低温灭菌器械</w:t>
            </w:r>
          </w:p>
        </w:tc>
        <w:tc>
          <w:tcPr>
            <w:tcW w:w="0" w:type="auto"/>
            <w:tcBorders>
              <w:top w:val="single" w:color="auto" w:sz="4" w:space="0"/>
              <w:left w:val="single" w:color="auto" w:sz="4" w:space="0"/>
              <w:bottom w:val="single" w:color="auto" w:sz="4" w:space="0"/>
              <w:right w:val="single" w:color="auto" w:sz="4" w:space="0"/>
            </w:tcBorders>
            <w:noWrap/>
            <w:vAlign w:val="center"/>
          </w:tcPr>
          <w:p>
            <w:pPr>
              <w:widowControl/>
              <w:jc w:val="center"/>
              <w:rPr>
                <w:rFonts w:cs="宋体"/>
                <w:kern w:val="0"/>
                <w:sz w:val="24"/>
              </w:rPr>
            </w:pPr>
            <w:r>
              <w:rPr>
                <w:rFonts w:hint="eastAsia" w:cs="宋体"/>
                <w:kern w:val="0"/>
                <w:sz w:val="24"/>
              </w:rPr>
              <w:t>普通常规器械</w:t>
            </w:r>
          </w:p>
        </w:tc>
        <w:tc>
          <w:tcPr>
            <w:tcW w:w="1077" w:type="dxa"/>
            <w:tcBorders>
              <w:top w:val="single" w:color="auto" w:sz="4" w:space="0"/>
              <w:left w:val="nil"/>
              <w:bottom w:val="single" w:color="auto" w:sz="4" w:space="0"/>
              <w:right w:val="single" w:color="auto" w:sz="4" w:space="0"/>
            </w:tcBorders>
            <w:noWrap w:val="0"/>
            <w:vAlign w:val="top"/>
          </w:tcPr>
          <w:p>
            <w:pPr>
              <w:rPr>
                <w:rFonts w:hint="eastAsia"/>
              </w:rPr>
            </w:pPr>
            <w:r>
              <w:rPr>
                <w:rFonts w:hint="eastAsia"/>
              </w:rPr>
              <w:t>20元/把</w:t>
            </w:r>
          </w:p>
        </w:tc>
        <w:tc>
          <w:tcPr>
            <w:tcW w:w="152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cs="宋体"/>
                <w:color w:val="auto"/>
                <w:kern w:val="0"/>
                <w:sz w:val="26"/>
                <w:szCs w:val="26"/>
              </w:rPr>
            </w:pPr>
            <w:r>
              <w:rPr>
                <w:rFonts w:hint="eastAsia" w:cs="宋体"/>
                <w:color w:val="auto"/>
                <w:kern w:val="0"/>
                <w:sz w:val="26"/>
                <w:szCs w:val="26"/>
              </w:rPr>
              <w:t>4.8万件</w:t>
            </w:r>
          </w:p>
        </w:tc>
        <w:tc>
          <w:tcPr>
            <w:tcW w:w="1395" w:type="dxa"/>
            <w:tcBorders>
              <w:top w:val="single" w:color="auto" w:sz="4" w:space="0"/>
              <w:left w:val="nil"/>
              <w:bottom w:val="single" w:color="auto" w:sz="4" w:space="0"/>
              <w:right w:val="single" w:color="auto" w:sz="4" w:space="0"/>
            </w:tcBorders>
            <w:noWrap w:val="0"/>
            <w:vAlign w:val="center"/>
          </w:tcPr>
          <w:p>
            <w:pPr>
              <w:widowControl/>
              <w:jc w:val="center"/>
              <w:rPr>
                <w:rFonts w:cs="宋体"/>
                <w:kern w:val="0"/>
                <w:sz w:val="26"/>
                <w:szCs w:val="26"/>
              </w:rPr>
            </w:pPr>
            <w:r>
              <w:rPr>
                <w:rFonts w:hint="eastAsia" w:cs="宋体"/>
                <w:kern w:val="0"/>
                <w:sz w:val="26"/>
                <w:szCs w:val="26"/>
              </w:rPr>
              <w:t>96</w:t>
            </w:r>
          </w:p>
        </w:tc>
        <w:tc>
          <w:tcPr>
            <w:tcW w:w="0" w:type="auto"/>
            <w:tcBorders>
              <w:top w:val="single" w:color="auto" w:sz="4" w:space="0"/>
              <w:left w:val="nil"/>
              <w:bottom w:val="single" w:color="auto" w:sz="4" w:space="0"/>
              <w:right w:val="single" w:color="auto" w:sz="4" w:space="0"/>
            </w:tcBorders>
            <w:noWrap w:val="0"/>
            <w:vAlign w:val="top"/>
          </w:tcPr>
          <w:p>
            <w:pPr>
              <w:widowControl/>
              <w:jc w:val="center"/>
              <w:rPr>
                <w:rFonts w:hint="eastAsia" w:cs="宋体"/>
                <w:kern w:val="0"/>
                <w:sz w:val="26"/>
                <w:szCs w:val="26"/>
              </w:rPr>
            </w:pPr>
          </w:p>
        </w:tc>
      </w:tr>
      <w:tr>
        <w:tblPrEx>
          <w:tblCellMar>
            <w:top w:w="0" w:type="dxa"/>
            <w:left w:w="108" w:type="dxa"/>
            <w:bottom w:w="0" w:type="dxa"/>
            <w:right w:w="108" w:type="dxa"/>
          </w:tblCellMar>
        </w:tblPrEx>
        <w:trPr>
          <w:trHeight w:val="495" w:hRule="atLeast"/>
        </w:trPr>
        <w:tc>
          <w:tcPr>
            <w:tcW w:w="0" w:type="auto"/>
            <w:vMerge w:val="continue"/>
            <w:tcBorders>
              <w:top w:val="nil"/>
              <w:left w:val="single" w:color="auto" w:sz="4" w:space="0"/>
              <w:right w:val="single" w:color="auto" w:sz="4" w:space="0"/>
            </w:tcBorders>
            <w:noWrap w:val="0"/>
            <w:vAlign w:val="center"/>
          </w:tcPr>
          <w:p>
            <w:pPr>
              <w:widowControl/>
              <w:jc w:val="center"/>
              <w:rPr>
                <w:rFonts w:hint="eastAsia" w:cs="宋体"/>
                <w:kern w:val="0"/>
                <w:sz w:val="24"/>
              </w:rPr>
            </w:pPr>
          </w:p>
        </w:tc>
        <w:tc>
          <w:tcPr>
            <w:tcW w:w="0" w:type="auto"/>
            <w:tcBorders>
              <w:top w:val="single" w:color="auto" w:sz="4" w:space="0"/>
              <w:left w:val="single" w:color="auto" w:sz="4" w:space="0"/>
              <w:bottom w:val="single" w:color="auto" w:sz="4" w:space="0"/>
              <w:right w:val="single" w:color="auto" w:sz="4" w:space="0"/>
            </w:tcBorders>
            <w:noWrap/>
            <w:vAlign w:val="center"/>
          </w:tcPr>
          <w:p>
            <w:pPr>
              <w:widowControl/>
              <w:jc w:val="center"/>
              <w:rPr>
                <w:rFonts w:cs="宋体"/>
                <w:kern w:val="0"/>
                <w:sz w:val="24"/>
              </w:rPr>
            </w:pPr>
            <w:r>
              <w:rPr>
                <w:rFonts w:hint="eastAsia" w:cs="宋体"/>
                <w:kern w:val="0"/>
                <w:sz w:val="24"/>
              </w:rPr>
              <w:t>腔镜器械(硬)</w:t>
            </w:r>
          </w:p>
        </w:tc>
        <w:tc>
          <w:tcPr>
            <w:tcW w:w="1077" w:type="dxa"/>
            <w:tcBorders>
              <w:top w:val="single" w:color="auto" w:sz="4" w:space="0"/>
              <w:left w:val="nil"/>
              <w:bottom w:val="single" w:color="auto" w:sz="4" w:space="0"/>
              <w:right w:val="single" w:color="auto" w:sz="4" w:space="0"/>
            </w:tcBorders>
            <w:noWrap w:val="0"/>
            <w:vAlign w:val="top"/>
          </w:tcPr>
          <w:p>
            <w:pPr>
              <w:rPr>
                <w:rFonts w:hint="eastAsia"/>
              </w:rPr>
            </w:pPr>
            <w:r>
              <w:rPr>
                <w:rFonts w:hint="eastAsia"/>
              </w:rPr>
              <w:t>70元/把</w:t>
            </w:r>
          </w:p>
        </w:tc>
        <w:tc>
          <w:tcPr>
            <w:tcW w:w="152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cs="宋体"/>
                <w:color w:val="auto"/>
                <w:kern w:val="0"/>
                <w:sz w:val="24"/>
              </w:rPr>
            </w:pPr>
            <w:r>
              <w:rPr>
                <w:rFonts w:hint="eastAsia" w:cs="宋体"/>
                <w:color w:val="auto"/>
                <w:kern w:val="0"/>
                <w:sz w:val="24"/>
              </w:rPr>
              <w:t>0.18万件</w:t>
            </w:r>
          </w:p>
        </w:tc>
        <w:tc>
          <w:tcPr>
            <w:tcW w:w="1395" w:type="dxa"/>
            <w:tcBorders>
              <w:top w:val="single" w:color="auto" w:sz="4" w:space="0"/>
              <w:left w:val="nil"/>
              <w:bottom w:val="single" w:color="auto" w:sz="4" w:space="0"/>
              <w:right w:val="single" w:color="auto" w:sz="4" w:space="0"/>
            </w:tcBorders>
            <w:noWrap w:val="0"/>
            <w:vAlign w:val="center"/>
          </w:tcPr>
          <w:p>
            <w:pPr>
              <w:widowControl/>
              <w:jc w:val="center"/>
              <w:rPr>
                <w:rFonts w:cs="宋体"/>
                <w:kern w:val="0"/>
                <w:sz w:val="24"/>
              </w:rPr>
            </w:pPr>
            <w:r>
              <w:rPr>
                <w:rFonts w:hint="eastAsia" w:cs="宋体"/>
                <w:kern w:val="0"/>
                <w:sz w:val="24"/>
              </w:rPr>
              <w:t>12.6</w:t>
            </w:r>
            <w:r>
              <w:rPr>
                <w:rFonts w:cs="宋体"/>
                <w:kern w:val="0"/>
                <w:sz w:val="24"/>
              </w:rPr>
              <w:t xml:space="preserve"> </w:t>
            </w:r>
          </w:p>
        </w:tc>
        <w:tc>
          <w:tcPr>
            <w:tcW w:w="0" w:type="auto"/>
            <w:tcBorders>
              <w:top w:val="single" w:color="auto" w:sz="4" w:space="0"/>
              <w:left w:val="nil"/>
              <w:bottom w:val="single" w:color="auto" w:sz="4" w:space="0"/>
              <w:right w:val="single" w:color="auto" w:sz="4" w:space="0"/>
            </w:tcBorders>
            <w:noWrap w:val="0"/>
            <w:vAlign w:val="top"/>
          </w:tcPr>
          <w:p>
            <w:pPr>
              <w:widowControl/>
              <w:jc w:val="center"/>
              <w:rPr>
                <w:rFonts w:hint="eastAsia" w:cs="宋体"/>
                <w:kern w:val="0"/>
                <w:sz w:val="24"/>
              </w:rPr>
            </w:pPr>
          </w:p>
        </w:tc>
      </w:tr>
      <w:tr>
        <w:tblPrEx>
          <w:tblCellMar>
            <w:top w:w="0" w:type="dxa"/>
            <w:left w:w="108" w:type="dxa"/>
            <w:bottom w:w="0" w:type="dxa"/>
            <w:right w:w="108" w:type="dxa"/>
          </w:tblCellMar>
        </w:tblPrEx>
        <w:trPr>
          <w:trHeight w:val="675" w:hRule="atLeast"/>
        </w:trPr>
        <w:tc>
          <w:tcPr>
            <w:tcW w:w="0" w:type="auto"/>
            <w:vMerge w:val="continue"/>
            <w:tcBorders>
              <w:left w:val="single" w:color="auto" w:sz="4" w:space="0"/>
              <w:bottom w:val="single" w:color="auto" w:sz="4" w:space="0"/>
              <w:right w:val="single" w:color="auto" w:sz="4" w:space="0"/>
            </w:tcBorders>
            <w:noWrap w:val="0"/>
            <w:vAlign w:val="center"/>
          </w:tcPr>
          <w:p>
            <w:pPr>
              <w:widowControl/>
              <w:jc w:val="left"/>
              <w:rPr>
                <w:rFonts w:cs="宋体"/>
                <w:kern w:val="0"/>
                <w:sz w:val="24"/>
              </w:rPr>
            </w:pPr>
          </w:p>
        </w:tc>
        <w:tc>
          <w:tcPr>
            <w:tcW w:w="0" w:type="auto"/>
            <w:tcBorders>
              <w:top w:val="nil"/>
              <w:left w:val="single" w:color="auto" w:sz="4" w:space="0"/>
              <w:bottom w:val="single" w:color="auto" w:sz="4" w:space="0"/>
              <w:right w:val="single" w:color="auto" w:sz="4" w:space="0"/>
            </w:tcBorders>
            <w:noWrap/>
            <w:vAlign w:val="center"/>
          </w:tcPr>
          <w:p>
            <w:pPr>
              <w:widowControl/>
              <w:jc w:val="center"/>
              <w:rPr>
                <w:rFonts w:hint="eastAsia" w:cs="宋体"/>
                <w:kern w:val="0"/>
                <w:sz w:val="24"/>
              </w:rPr>
            </w:pPr>
            <w:r>
              <w:rPr>
                <w:rFonts w:hint="eastAsia" w:cs="宋体"/>
                <w:kern w:val="0"/>
                <w:sz w:val="24"/>
              </w:rPr>
              <w:t>腔镜器械(目)</w:t>
            </w:r>
          </w:p>
        </w:tc>
        <w:tc>
          <w:tcPr>
            <w:tcW w:w="1077" w:type="dxa"/>
            <w:tcBorders>
              <w:top w:val="nil"/>
              <w:left w:val="nil"/>
              <w:bottom w:val="single" w:color="auto" w:sz="4" w:space="0"/>
              <w:right w:val="single" w:color="auto" w:sz="4" w:space="0"/>
            </w:tcBorders>
            <w:noWrap w:val="0"/>
            <w:vAlign w:val="top"/>
          </w:tcPr>
          <w:p>
            <w:r>
              <w:rPr>
                <w:rFonts w:hint="eastAsia"/>
              </w:rPr>
              <w:t>90元/把</w:t>
            </w:r>
          </w:p>
        </w:tc>
        <w:tc>
          <w:tcPr>
            <w:tcW w:w="1522" w:type="dxa"/>
            <w:tcBorders>
              <w:top w:val="nil"/>
              <w:left w:val="single" w:color="auto" w:sz="4" w:space="0"/>
              <w:bottom w:val="single" w:color="auto" w:sz="4" w:space="0"/>
              <w:right w:val="single" w:color="auto" w:sz="4" w:space="0"/>
            </w:tcBorders>
            <w:noWrap w:val="0"/>
            <w:vAlign w:val="center"/>
          </w:tcPr>
          <w:p>
            <w:pPr>
              <w:widowControl/>
              <w:jc w:val="center"/>
              <w:rPr>
                <w:rFonts w:hint="eastAsia" w:cs="宋体"/>
                <w:color w:val="auto"/>
                <w:kern w:val="0"/>
                <w:sz w:val="24"/>
              </w:rPr>
            </w:pPr>
            <w:r>
              <w:rPr>
                <w:rFonts w:hint="eastAsia" w:cs="宋体"/>
                <w:color w:val="auto"/>
                <w:kern w:val="0"/>
                <w:sz w:val="24"/>
              </w:rPr>
              <w:t>0</w:t>
            </w:r>
          </w:p>
        </w:tc>
        <w:tc>
          <w:tcPr>
            <w:tcW w:w="1395" w:type="dxa"/>
            <w:tcBorders>
              <w:top w:val="nil"/>
              <w:left w:val="nil"/>
              <w:bottom w:val="single" w:color="auto" w:sz="4" w:space="0"/>
              <w:right w:val="single" w:color="auto" w:sz="4" w:space="0"/>
            </w:tcBorders>
            <w:noWrap w:val="0"/>
            <w:vAlign w:val="center"/>
          </w:tcPr>
          <w:p>
            <w:pPr>
              <w:widowControl/>
              <w:jc w:val="center"/>
              <w:rPr>
                <w:rFonts w:hint="eastAsia" w:cs="宋体"/>
                <w:kern w:val="0"/>
                <w:sz w:val="24"/>
              </w:rPr>
            </w:pPr>
            <w:r>
              <w:rPr>
                <w:rFonts w:hint="eastAsia" w:cs="宋体"/>
                <w:kern w:val="0"/>
                <w:sz w:val="24"/>
              </w:rPr>
              <w:t>0</w:t>
            </w:r>
          </w:p>
        </w:tc>
        <w:tc>
          <w:tcPr>
            <w:tcW w:w="0" w:type="auto"/>
            <w:tcBorders>
              <w:top w:val="nil"/>
              <w:left w:val="nil"/>
              <w:bottom w:val="single" w:color="auto" w:sz="4" w:space="0"/>
              <w:right w:val="single" w:color="auto" w:sz="4" w:space="0"/>
            </w:tcBorders>
            <w:noWrap w:val="0"/>
            <w:vAlign w:val="top"/>
          </w:tcPr>
          <w:p>
            <w:pPr>
              <w:widowControl/>
              <w:jc w:val="center"/>
              <w:rPr>
                <w:rFonts w:hint="eastAsia" w:cs="宋体"/>
                <w:kern w:val="0"/>
                <w:sz w:val="24"/>
              </w:rPr>
            </w:pPr>
          </w:p>
        </w:tc>
      </w:tr>
    </w:tbl>
    <w:p>
      <w:pPr>
        <w:spacing w:line="360" w:lineRule="auto"/>
        <w:rPr>
          <w:b/>
        </w:rPr>
      </w:pPr>
      <w:r>
        <w:rPr>
          <w:rFonts w:hint="eastAsia"/>
          <w:b/>
        </w:rPr>
        <w:t>报价说明：</w:t>
      </w:r>
    </w:p>
    <w:p>
      <w:pPr>
        <w:spacing w:line="360" w:lineRule="auto"/>
      </w:pPr>
      <w:r>
        <w:rPr>
          <w:rFonts w:hint="eastAsia"/>
        </w:rPr>
        <w:t>（1）、各类器械、</w:t>
      </w:r>
      <w:r>
        <w:rPr>
          <w:rFonts w:hint="eastAsia" w:cs="宋体"/>
          <w:kern w:val="0"/>
        </w:rPr>
        <w:t>敷料</w:t>
      </w:r>
      <w:r>
        <w:rPr>
          <w:rFonts w:hint="eastAsia"/>
        </w:rPr>
        <w:t>按实际使用量结算。</w:t>
      </w:r>
    </w:p>
    <w:p>
      <w:pPr>
        <w:spacing w:line="360" w:lineRule="auto"/>
      </w:pPr>
      <w:r>
        <w:rPr>
          <w:rFonts w:hint="eastAsia"/>
        </w:rPr>
        <w:t>（2）、</w:t>
      </w:r>
      <w:r>
        <w:rPr>
          <w:rFonts w:hint="eastAsia" w:cs="宋体"/>
          <w:kern w:val="0"/>
        </w:rPr>
        <w:t>高温常规器械年处理量低于50万件，</w:t>
      </w:r>
      <w:r>
        <w:rPr>
          <w:rFonts w:hint="eastAsia" w:cs="宋体"/>
          <w:color w:val="auto"/>
          <w:kern w:val="0"/>
        </w:rPr>
        <w:t>按总量50万件结算。</w:t>
      </w:r>
    </w:p>
    <w:p>
      <w:pPr>
        <w:spacing w:line="360" w:lineRule="auto"/>
      </w:pPr>
      <w:r>
        <w:rPr>
          <w:rFonts w:hint="eastAsia"/>
        </w:rPr>
        <w:t>（3）、</w:t>
      </w:r>
      <w:r>
        <w:rPr>
          <w:rFonts w:hint="eastAsia" w:cs="宋体"/>
          <w:kern w:val="0"/>
        </w:rPr>
        <w:t>高温常规器械年处理量超出100万件，超量结算单价按中标价格95%结算。</w:t>
      </w:r>
    </w:p>
    <w:p>
      <w:pPr>
        <w:spacing w:line="360" w:lineRule="auto"/>
        <w:rPr>
          <w:rFonts w:cs="宋体"/>
          <w:kern w:val="0"/>
        </w:rPr>
      </w:pPr>
      <w:r>
        <w:rPr>
          <w:rFonts w:hint="eastAsia"/>
        </w:rPr>
        <w:t>（4）、低温常规器械</w:t>
      </w:r>
      <w:r>
        <w:rPr>
          <w:rFonts w:hint="eastAsia" w:cs="宋体"/>
          <w:kern w:val="0"/>
        </w:rPr>
        <w:t>年处理量低于4万件，按总量4万件结算；年处理量超出6万件，超量结算单价按中标价格80%结算。</w:t>
      </w:r>
    </w:p>
    <w:p>
      <w:pPr>
        <w:spacing w:line="360" w:lineRule="auto"/>
        <w:rPr>
          <w:rFonts w:ascii="宋体" w:hAnsi="宋体"/>
          <w:sz w:val="24"/>
        </w:rPr>
      </w:pPr>
      <w:r>
        <w:rPr>
          <w:rFonts w:hint="eastAsia" w:ascii="宋体" w:hAnsi="宋体"/>
          <w:sz w:val="24"/>
        </w:rPr>
        <w:t>3、服务内容：供应商承包医院原有消毒供应中心为医院提供全部器械的清洗消毒灭菌、以及医用织物消毒灭菌。</w:t>
      </w:r>
    </w:p>
    <w:p>
      <w:pPr>
        <w:spacing w:line="360" w:lineRule="auto"/>
        <w:rPr>
          <w:rFonts w:ascii="宋体" w:hAnsi="宋体"/>
          <w:b/>
          <w:bCs/>
          <w:sz w:val="24"/>
        </w:rPr>
      </w:pPr>
      <w:r>
        <w:rPr>
          <w:rFonts w:hint="eastAsia" w:ascii="宋体" w:hAnsi="宋体"/>
          <w:b/>
          <w:bCs/>
          <w:sz w:val="24"/>
        </w:rPr>
        <w:t>三、技术要求：</w:t>
      </w:r>
    </w:p>
    <w:p>
      <w:pPr>
        <w:spacing w:line="360" w:lineRule="auto"/>
        <w:ind w:firstLine="480" w:firstLineChars="200"/>
        <w:rPr>
          <w:rFonts w:hint="eastAsia" w:ascii="宋体" w:hAnsi="宋体"/>
          <w:sz w:val="24"/>
          <w:highlight w:val="none"/>
        </w:rPr>
      </w:pPr>
      <w:r>
        <w:rPr>
          <w:rFonts w:hint="eastAsia" w:ascii="宋体" w:hAnsi="宋体"/>
          <w:sz w:val="24"/>
          <w:highlight w:val="none"/>
        </w:rPr>
        <w:t>1、供应商必须具备《医疗机构执业许可证》</w:t>
      </w:r>
    </w:p>
    <w:p>
      <w:pPr>
        <w:spacing w:line="360" w:lineRule="auto"/>
        <w:ind w:firstLine="480" w:firstLineChars="200"/>
        <w:rPr>
          <w:rFonts w:ascii="宋体" w:hAnsi="宋体"/>
          <w:sz w:val="24"/>
        </w:rPr>
      </w:pPr>
      <w:r>
        <w:rPr>
          <w:rFonts w:hint="eastAsia" w:ascii="宋体" w:hAnsi="宋体"/>
          <w:sz w:val="24"/>
        </w:rPr>
        <w:t>2、消毒灭菌后的物资，均需达到以下国家相关行业标准：</w:t>
      </w:r>
    </w:p>
    <w:p>
      <w:pPr>
        <w:spacing w:line="360" w:lineRule="auto"/>
        <w:ind w:firstLine="480" w:firstLineChars="200"/>
        <w:rPr>
          <w:rFonts w:ascii="宋体" w:hAnsi="宋体"/>
          <w:sz w:val="24"/>
        </w:rPr>
      </w:pPr>
      <w:r>
        <w:rPr>
          <w:rFonts w:hint="eastAsia" w:ascii="宋体" w:hAnsi="宋体"/>
          <w:sz w:val="24"/>
        </w:rPr>
        <w:t>2.1中华人民共和国卫生行业标准：WS310.1-2016《医院消毒供应中心第1部分：管理规范》；WS310.2-2016《医院消毒供应中心第2部分：清洗消毒及灭菌技术操作规范》；WS310.3-2016《医院消毒供应中心第3部分：清洗消毒及灭菌效果监测》标准执行；</w:t>
      </w:r>
    </w:p>
    <w:p>
      <w:pPr>
        <w:spacing w:line="360" w:lineRule="auto"/>
        <w:ind w:firstLine="480" w:firstLineChars="200"/>
        <w:rPr>
          <w:rFonts w:hint="eastAsia" w:ascii="宋体" w:hAnsi="宋体"/>
          <w:sz w:val="24"/>
        </w:rPr>
      </w:pPr>
      <w:r>
        <w:rPr>
          <w:rFonts w:hint="eastAsia" w:ascii="宋体" w:hAnsi="宋体"/>
          <w:sz w:val="24"/>
        </w:rPr>
        <w:t>2.2同时需要符合合同期内更新及新颁布的行业标准规范。</w:t>
      </w:r>
    </w:p>
    <w:p>
      <w:pPr>
        <w:spacing w:line="360" w:lineRule="auto"/>
        <w:ind w:firstLine="480" w:firstLineChars="200"/>
        <w:rPr>
          <w:rFonts w:ascii="宋体" w:hAnsi="宋体"/>
          <w:sz w:val="24"/>
        </w:rPr>
      </w:pPr>
      <w:r>
        <w:rPr>
          <w:rFonts w:hint="eastAsia" w:ascii="宋体" w:hAnsi="宋体"/>
          <w:sz w:val="24"/>
        </w:rPr>
        <w:t>3、转运及运输：</w:t>
      </w:r>
    </w:p>
    <w:p>
      <w:pPr>
        <w:spacing w:line="360" w:lineRule="auto"/>
        <w:ind w:firstLine="480" w:firstLineChars="200"/>
        <w:rPr>
          <w:rFonts w:ascii="宋体" w:hAnsi="宋体"/>
          <w:sz w:val="24"/>
        </w:rPr>
      </w:pPr>
      <w:r>
        <w:rPr>
          <w:rFonts w:hint="eastAsia" w:ascii="宋体" w:hAnsi="宋体"/>
          <w:sz w:val="24"/>
        </w:rPr>
        <w:t>3</w:t>
      </w:r>
      <w:r>
        <w:rPr>
          <w:rFonts w:ascii="宋体" w:hAnsi="宋体"/>
          <w:sz w:val="24"/>
        </w:rPr>
        <w:t>.1</w:t>
      </w:r>
      <w:r>
        <w:rPr>
          <w:rFonts w:hint="eastAsia" w:ascii="宋体" w:hAnsi="宋体"/>
          <w:sz w:val="24"/>
        </w:rPr>
        <w:t>投标单位需提供所有消毒灭菌物品的院内下收下送，及不同院区间的院外物流转运服务，按时按要求收发至用户指定地点，下收下送时间与次数根据院方需求执行。</w:t>
      </w:r>
    </w:p>
    <w:p>
      <w:pPr>
        <w:spacing w:line="360" w:lineRule="auto"/>
        <w:ind w:firstLine="480" w:firstLineChars="200"/>
        <w:rPr>
          <w:rFonts w:ascii="宋体" w:hAnsi="宋体"/>
          <w:sz w:val="24"/>
        </w:rPr>
      </w:pPr>
      <w:r>
        <w:rPr>
          <w:rFonts w:hint="eastAsia" w:ascii="宋体" w:hAnsi="宋体"/>
          <w:sz w:val="24"/>
        </w:rPr>
        <w:t>3</w:t>
      </w:r>
      <w:r>
        <w:rPr>
          <w:rFonts w:ascii="宋体" w:hAnsi="宋体"/>
          <w:sz w:val="24"/>
        </w:rPr>
        <w:t>.2</w:t>
      </w:r>
      <w:r>
        <w:rPr>
          <w:rFonts w:hint="eastAsia" w:ascii="宋体" w:hAnsi="宋体"/>
          <w:sz w:val="24"/>
        </w:rPr>
        <w:t>投标单位必须只能使用符合国家标准规范和采购单位要求的运送容器和车辆运送无菌器械和经污染器械；根据采购单位业务量补足转运车、转运箱、物流车，及配置下收下送人员、物流司机等。</w:t>
      </w:r>
    </w:p>
    <w:p>
      <w:pPr>
        <w:spacing w:line="360" w:lineRule="auto"/>
        <w:ind w:firstLine="480" w:firstLineChars="200"/>
        <w:rPr>
          <w:rFonts w:ascii="宋体" w:hAnsi="宋体"/>
          <w:sz w:val="24"/>
        </w:rPr>
      </w:pPr>
      <w:r>
        <w:rPr>
          <w:rFonts w:hint="eastAsia" w:ascii="宋体" w:hAnsi="宋体"/>
          <w:sz w:val="24"/>
        </w:rPr>
        <w:t>4、质量及标准：按中华人民共和国卫生行业标准执行；所有消毒灭菌处理都应有数据证据支持；投标单位需建立完善的质控系统，并形成文件体系；记录和质控数据可按照相关要求向采购单位提供；所有质控文件应留存3年以上。</w:t>
      </w:r>
    </w:p>
    <w:p>
      <w:pPr>
        <w:spacing w:line="360" w:lineRule="auto"/>
        <w:ind w:firstLine="480" w:firstLineChars="200"/>
        <w:rPr>
          <w:rFonts w:ascii="宋体" w:hAnsi="宋体"/>
          <w:sz w:val="24"/>
        </w:rPr>
      </w:pPr>
      <w:r>
        <w:rPr>
          <w:rFonts w:hint="eastAsia" w:ascii="宋体" w:hAnsi="宋体"/>
          <w:sz w:val="24"/>
        </w:rPr>
        <w:t>5、所有循环使用的需灭菌包内需附一份产品目录清单，清单内列出包内每样产品，目录清单留有在产品被使用后供检验人员签字确认的栏目。</w:t>
      </w:r>
    </w:p>
    <w:p>
      <w:pPr>
        <w:spacing w:line="360" w:lineRule="auto"/>
        <w:ind w:firstLine="480" w:firstLineChars="200"/>
        <w:rPr>
          <w:rFonts w:ascii="宋体" w:hAnsi="宋体"/>
          <w:sz w:val="24"/>
        </w:rPr>
      </w:pPr>
      <w:r>
        <w:rPr>
          <w:rFonts w:hint="eastAsia" w:ascii="宋体" w:hAnsi="宋体"/>
          <w:sz w:val="24"/>
        </w:rPr>
        <w:t>6、对服务要求以及新增服务项目的任何变更，需征得双方同意后，且使用“变更控制通知”记述变更性质、任何经济影响以及双方的签字。</w:t>
      </w:r>
    </w:p>
    <w:p>
      <w:pPr>
        <w:spacing w:line="360" w:lineRule="auto"/>
        <w:ind w:firstLine="480" w:firstLineChars="200"/>
        <w:rPr>
          <w:rFonts w:ascii="宋体" w:hAnsi="宋体"/>
          <w:sz w:val="24"/>
        </w:rPr>
      </w:pPr>
      <w:r>
        <w:rPr>
          <w:rFonts w:hint="eastAsia" w:ascii="宋体" w:hAnsi="宋体"/>
          <w:sz w:val="24"/>
        </w:rPr>
        <w:t>7、运送的产品清单需每次伴随产品一同提交给采购单位。</w:t>
      </w:r>
    </w:p>
    <w:p>
      <w:pPr>
        <w:spacing w:line="360" w:lineRule="auto"/>
        <w:ind w:firstLine="480" w:firstLineChars="200"/>
        <w:rPr>
          <w:rFonts w:ascii="宋体" w:hAnsi="宋体"/>
          <w:sz w:val="24"/>
        </w:rPr>
      </w:pPr>
      <w:r>
        <w:rPr>
          <w:rFonts w:hint="eastAsia" w:ascii="宋体" w:hAnsi="宋体"/>
          <w:sz w:val="24"/>
        </w:rPr>
        <w:t>8、采购单位在产品送回后对产品进行检查，如果发现产品有任何缺陷，采购单位有权拒收或退回产品，由此产生的费用，采购单位有权扣除；投标单位需赔偿由于产品缺陷给采购单位造成的损失。</w:t>
      </w:r>
    </w:p>
    <w:p>
      <w:pPr>
        <w:spacing w:line="360" w:lineRule="auto"/>
        <w:ind w:firstLine="480" w:firstLineChars="200"/>
        <w:rPr>
          <w:rFonts w:ascii="宋体" w:hAnsi="宋体"/>
          <w:sz w:val="24"/>
        </w:rPr>
      </w:pPr>
      <w:r>
        <w:rPr>
          <w:rFonts w:hint="eastAsia" w:ascii="宋体" w:hAnsi="宋体"/>
          <w:sz w:val="24"/>
        </w:rPr>
        <w:t>9、器械及维护修理：</w:t>
      </w:r>
    </w:p>
    <w:p>
      <w:pPr>
        <w:spacing w:line="360" w:lineRule="auto"/>
        <w:ind w:firstLine="480" w:firstLineChars="200"/>
        <w:rPr>
          <w:rFonts w:ascii="宋体" w:hAnsi="宋体"/>
          <w:sz w:val="24"/>
        </w:rPr>
      </w:pPr>
      <w:r>
        <w:rPr>
          <w:rFonts w:hint="eastAsia" w:ascii="宋体" w:hAnsi="宋体"/>
          <w:sz w:val="24"/>
        </w:rPr>
        <w:t>9</w:t>
      </w:r>
      <w:r>
        <w:rPr>
          <w:rFonts w:ascii="宋体" w:hAnsi="宋体"/>
          <w:sz w:val="24"/>
        </w:rPr>
        <w:t>.1</w:t>
      </w:r>
      <w:r>
        <w:rPr>
          <w:rFonts w:hint="eastAsia" w:ascii="宋体" w:hAnsi="宋体"/>
          <w:sz w:val="24"/>
        </w:rPr>
        <w:t>所有需消毒灭菌的器械所有权属于采购单位，投标单位有责任鉴别器械是否已经不适宜继续使用并决定是否需要修理。</w:t>
      </w:r>
      <w:r>
        <w:rPr>
          <w:rFonts w:hint="eastAsia" w:ascii="宋体" w:hAnsi="宋体"/>
          <w:sz w:val="24"/>
          <w:highlight w:val="none"/>
          <w:lang w:val="en-US" w:eastAsia="zh-CN"/>
        </w:rPr>
        <w:t>供应商须配合设备年检及维保工作，并承担服务期内设备年检费用。</w:t>
      </w:r>
      <w:r>
        <w:rPr>
          <w:rFonts w:hint="eastAsia" w:ascii="宋体" w:hAnsi="宋体"/>
          <w:sz w:val="24"/>
          <w:highlight w:val="none"/>
        </w:rPr>
        <w:t>器械的维修</w:t>
      </w:r>
      <w:r>
        <w:rPr>
          <w:rFonts w:hint="eastAsia" w:ascii="宋体" w:hAnsi="宋体"/>
          <w:sz w:val="24"/>
        </w:rPr>
        <w:t>、更新由采购单位承担，以确保在切实可行条件下器械维持在高水平。</w:t>
      </w:r>
    </w:p>
    <w:p>
      <w:pPr>
        <w:spacing w:line="360" w:lineRule="auto"/>
        <w:ind w:firstLine="480" w:firstLineChars="200"/>
        <w:rPr>
          <w:rFonts w:ascii="宋体" w:hAnsi="宋体"/>
          <w:sz w:val="24"/>
        </w:rPr>
      </w:pPr>
      <w:r>
        <w:rPr>
          <w:rFonts w:hint="eastAsia" w:ascii="宋体" w:hAnsi="宋体"/>
          <w:sz w:val="24"/>
        </w:rPr>
        <w:t>9</w:t>
      </w:r>
      <w:r>
        <w:rPr>
          <w:rFonts w:ascii="宋体" w:hAnsi="宋体"/>
          <w:sz w:val="24"/>
        </w:rPr>
        <w:t>.2</w:t>
      </w:r>
      <w:r>
        <w:rPr>
          <w:rFonts w:hint="eastAsia" w:ascii="宋体" w:hAnsi="宋体"/>
          <w:sz w:val="24"/>
        </w:rPr>
        <w:t>服务期内投标单位应承担因其责任造成的器械丢失或损害产生的成本。</w:t>
      </w:r>
    </w:p>
    <w:p>
      <w:pPr>
        <w:spacing w:line="360" w:lineRule="auto"/>
        <w:ind w:firstLine="480" w:firstLineChars="200"/>
        <w:rPr>
          <w:rFonts w:ascii="宋体" w:hAnsi="宋体"/>
          <w:sz w:val="24"/>
        </w:rPr>
      </w:pPr>
      <w:r>
        <w:rPr>
          <w:rFonts w:ascii="宋体" w:hAnsi="宋体"/>
          <w:sz w:val="24"/>
        </w:rPr>
        <w:t>1</w:t>
      </w:r>
      <w:r>
        <w:rPr>
          <w:rFonts w:hint="eastAsia" w:ascii="宋体" w:hAnsi="宋体"/>
          <w:sz w:val="24"/>
        </w:rPr>
        <w:t>0、投标单位需具备专业的客服体系，并拥有完善的用户使用手册，采购单位可对消毒供应及物流整个流程实现实时追踪。</w:t>
      </w:r>
    </w:p>
    <w:p>
      <w:pPr>
        <w:spacing w:line="360" w:lineRule="auto"/>
        <w:ind w:firstLine="480" w:firstLineChars="200"/>
        <w:rPr>
          <w:rFonts w:ascii="宋体" w:hAnsi="宋体"/>
          <w:sz w:val="24"/>
        </w:rPr>
      </w:pPr>
      <w:r>
        <w:rPr>
          <w:rFonts w:ascii="宋体" w:hAnsi="宋体"/>
          <w:sz w:val="24"/>
        </w:rPr>
        <w:t>1</w:t>
      </w:r>
      <w:r>
        <w:rPr>
          <w:rFonts w:hint="eastAsia" w:ascii="宋体" w:hAnsi="宋体"/>
          <w:sz w:val="24"/>
        </w:rPr>
        <w:t>1、采购单位有权每季度召集投标单位通过会议形式对合同以及履行监督进行回顾，提供质量改进报告；每月反馈服务缺陷投诉汇总，提供分析报告。</w:t>
      </w:r>
    </w:p>
    <w:p>
      <w:pPr>
        <w:spacing w:line="360" w:lineRule="auto"/>
        <w:ind w:firstLine="480" w:firstLineChars="200"/>
        <w:rPr>
          <w:rFonts w:ascii="宋体" w:hAnsi="宋体"/>
          <w:sz w:val="24"/>
        </w:rPr>
      </w:pPr>
      <w:r>
        <w:rPr>
          <w:rFonts w:hint="eastAsia" w:ascii="宋体" w:hAnsi="宋体"/>
          <w:sz w:val="24"/>
        </w:rPr>
        <w:t>12、投标单位需具备应急预案，保障医院正常运营。若由于投标单位自身原因导致影响服务的，采购单位不得不自己消毒或寻求其他第三方消毒灭菌所产生的费用由投标单位承担。</w:t>
      </w:r>
    </w:p>
    <w:p>
      <w:pPr>
        <w:spacing w:line="360" w:lineRule="auto"/>
        <w:ind w:firstLine="480" w:firstLineChars="200"/>
        <w:rPr>
          <w:rFonts w:ascii="宋体" w:hAnsi="宋体"/>
          <w:sz w:val="24"/>
        </w:rPr>
      </w:pPr>
      <w:r>
        <w:rPr>
          <w:rFonts w:hint="eastAsia" w:ascii="宋体" w:hAnsi="宋体"/>
          <w:sz w:val="24"/>
        </w:rPr>
        <w:t>13、因中标单位原因导致的常见不良事件及处理办法：</w:t>
      </w:r>
    </w:p>
    <w:p>
      <w:pPr>
        <w:spacing w:line="360" w:lineRule="auto"/>
        <w:ind w:firstLine="480" w:firstLineChars="200"/>
        <w:rPr>
          <w:rFonts w:ascii="宋体" w:hAnsi="宋体"/>
          <w:sz w:val="24"/>
        </w:rPr>
      </w:pPr>
      <w:r>
        <w:rPr>
          <w:rFonts w:hint="eastAsia" w:ascii="宋体" w:hAnsi="宋体"/>
          <w:sz w:val="24"/>
        </w:rPr>
        <w:t>13.1无菌包丢失：三个月内由中标单位负责追回或购置，每半个月反馈一次进度；三个月未追回的应赔付到位，中标单位承担购置费用。采购单位保留因器械包丢失造成的贻误手术引起相应不良后果的追责权。</w:t>
      </w:r>
    </w:p>
    <w:p>
      <w:pPr>
        <w:spacing w:line="360" w:lineRule="auto"/>
        <w:ind w:firstLine="480" w:firstLineChars="200"/>
        <w:rPr>
          <w:rFonts w:ascii="宋体" w:hAnsi="宋体"/>
          <w:sz w:val="24"/>
        </w:rPr>
      </w:pPr>
      <w:r>
        <w:rPr>
          <w:rFonts w:hint="eastAsia" w:ascii="宋体" w:hAnsi="宋体"/>
          <w:sz w:val="24"/>
        </w:rPr>
        <w:t>13.2无菌包未按约定时间送达：未造成后果的应立即补发；贻误手术进程造成不良后果，由中标单位承担相应责任及损失。</w:t>
      </w:r>
    </w:p>
    <w:p>
      <w:pPr>
        <w:spacing w:line="360" w:lineRule="auto"/>
        <w:ind w:firstLine="480" w:firstLineChars="200"/>
        <w:rPr>
          <w:rFonts w:ascii="宋体" w:hAnsi="宋体"/>
          <w:sz w:val="24"/>
        </w:rPr>
      </w:pPr>
      <w:r>
        <w:rPr>
          <w:rFonts w:hint="eastAsia" w:ascii="宋体" w:hAnsi="宋体"/>
          <w:sz w:val="24"/>
        </w:rPr>
        <w:t>13.3无菌包质量不合格处理办法：</w:t>
      </w:r>
    </w:p>
    <w:p>
      <w:pPr>
        <w:spacing w:line="360" w:lineRule="auto"/>
        <w:ind w:firstLine="480" w:firstLineChars="200"/>
        <w:rPr>
          <w:rFonts w:ascii="宋体" w:hAnsi="宋体"/>
          <w:sz w:val="24"/>
        </w:rPr>
      </w:pPr>
      <w:r>
        <w:rPr>
          <w:rFonts w:hint="eastAsia" w:ascii="宋体" w:hAnsi="宋体"/>
          <w:sz w:val="24"/>
        </w:rPr>
        <w:t>13.3.1当发生无菌包清洗质量不合格、灭菌不合格、指示卡未放置、潮湿包、包装破损、包装污染、器械组装错误等无法使用情形，中标单位应进行退货处理。</w:t>
      </w:r>
    </w:p>
    <w:p>
      <w:pPr>
        <w:spacing w:line="360" w:lineRule="auto"/>
        <w:ind w:firstLine="480" w:firstLineChars="200"/>
        <w:rPr>
          <w:rFonts w:ascii="宋体" w:hAnsi="宋体"/>
          <w:sz w:val="24"/>
        </w:rPr>
      </w:pPr>
      <w:r>
        <w:rPr>
          <w:rFonts w:hint="eastAsia" w:ascii="宋体" w:hAnsi="宋体"/>
          <w:sz w:val="24"/>
        </w:rPr>
        <w:t>13.3.2当发生无菌包器械型号与产品单不符、少器械、器械损坏、尖锐部件未保护、包装过大或过小等不影响包内其他器械使用时，采购单位有权要求退包。</w:t>
      </w:r>
    </w:p>
    <w:p>
      <w:pPr>
        <w:spacing w:line="360" w:lineRule="auto"/>
        <w:ind w:firstLine="480" w:firstLineChars="200"/>
        <w:rPr>
          <w:rFonts w:ascii="宋体" w:hAnsi="宋体"/>
          <w:sz w:val="24"/>
        </w:rPr>
      </w:pPr>
      <w:r>
        <w:rPr>
          <w:rFonts w:hint="eastAsia" w:ascii="宋体" w:hAnsi="宋体"/>
          <w:sz w:val="24"/>
        </w:rPr>
        <w:t>13.3.</w:t>
      </w:r>
      <w:r>
        <w:rPr>
          <w:rFonts w:ascii="宋体" w:hAnsi="宋体"/>
          <w:sz w:val="24"/>
        </w:rPr>
        <w:t>3</w:t>
      </w:r>
      <w:r>
        <w:rPr>
          <w:rFonts w:hint="eastAsia" w:ascii="宋体" w:hAnsi="宋体"/>
          <w:sz w:val="24"/>
        </w:rPr>
        <w:t>造成病患感染或相关医疗安全不良事件的，按照国家相关法律法规要求进行处置，采购单位保留追责权。</w:t>
      </w:r>
    </w:p>
    <w:p>
      <w:pPr>
        <w:spacing w:line="360" w:lineRule="auto"/>
        <w:rPr>
          <w:rFonts w:ascii="宋体" w:hAnsi="宋体"/>
          <w:b/>
          <w:bCs/>
          <w:color w:val="auto"/>
          <w:sz w:val="24"/>
        </w:rPr>
      </w:pPr>
      <w:r>
        <w:rPr>
          <w:rFonts w:hint="eastAsia" w:ascii="宋体" w:hAnsi="宋体"/>
          <w:b/>
          <w:bCs/>
          <w:color w:val="auto"/>
          <w:sz w:val="24"/>
          <w:lang w:val="en-US" w:eastAsia="zh-CN"/>
        </w:rPr>
        <w:t>四</w:t>
      </w:r>
      <w:r>
        <w:rPr>
          <w:rFonts w:hint="eastAsia" w:ascii="宋体" w:hAnsi="宋体"/>
          <w:b/>
          <w:bCs/>
          <w:color w:val="auto"/>
          <w:sz w:val="24"/>
        </w:rPr>
        <w:t>、商务要求</w:t>
      </w:r>
    </w:p>
    <w:p>
      <w:pPr>
        <w:spacing w:line="360" w:lineRule="auto"/>
        <w:ind w:firstLine="720" w:firstLineChars="300"/>
        <w:rPr>
          <w:rFonts w:ascii="宋体" w:hAnsi="宋体"/>
          <w:color w:val="auto"/>
          <w:sz w:val="24"/>
        </w:rPr>
      </w:pPr>
      <w:r>
        <w:rPr>
          <w:rFonts w:ascii="宋体" w:hAnsi="宋体"/>
          <w:color w:val="auto"/>
          <w:sz w:val="24"/>
        </w:rPr>
        <w:t>1</w:t>
      </w:r>
      <w:r>
        <w:rPr>
          <w:rFonts w:hint="eastAsia" w:ascii="宋体" w:hAnsi="宋体"/>
          <w:color w:val="auto"/>
          <w:sz w:val="24"/>
        </w:rPr>
        <w:t>、服务期</w:t>
      </w:r>
      <w:r>
        <w:rPr>
          <w:rFonts w:hint="eastAsia" w:ascii="宋体" w:hAnsi="宋体"/>
          <w:color w:val="auto"/>
          <w:sz w:val="24"/>
          <w:lang w:val="en-US" w:eastAsia="zh-CN"/>
        </w:rPr>
        <w:t>3</w:t>
      </w:r>
      <w:r>
        <w:rPr>
          <w:rFonts w:hint="eastAsia" w:ascii="宋体" w:hAnsi="宋体"/>
          <w:color w:val="auto"/>
          <w:sz w:val="24"/>
        </w:rPr>
        <w:t>年</w:t>
      </w:r>
      <w:r>
        <w:rPr>
          <w:rFonts w:hint="eastAsia" w:ascii="宋体" w:hAnsi="宋体"/>
          <w:color w:val="auto"/>
          <w:sz w:val="24"/>
          <w:lang w:eastAsia="zh-CN"/>
        </w:rPr>
        <w:t>（</w:t>
      </w:r>
      <w:r>
        <w:rPr>
          <w:rFonts w:hint="eastAsia" w:ascii="宋体" w:hAnsi="宋体"/>
          <w:color w:val="auto"/>
          <w:sz w:val="24"/>
          <w:lang w:val="en-US" w:eastAsia="zh-CN"/>
        </w:rPr>
        <w:t>采用1+1+1模式</w:t>
      </w:r>
      <w:r>
        <w:rPr>
          <w:rFonts w:hint="eastAsia" w:ascii="宋体" w:hAnsi="宋体"/>
          <w:color w:val="auto"/>
          <w:sz w:val="24"/>
          <w:lang w:eastAsia="zh-CN"/>
        </w:rPr>
        <w:t>）</w:t>
      </w:r>
      <w:r>
        <w:rPr>
          <w:rFonts w:hint="eastAsia" w:ascii="宋体" w:hAnsi="宋体"/>
          <w:color w:val="auto"/>
          <w:sz w:val="24"/>
        </w:rPr>
        <w:t>，服务期内院方组织每年服务期满考核，考核合格后合同方可继续执行，如考核不合格，医院有权无条件终止合同。</w:t>
      </w:r>
    </w:p>
    <w:p>
      <w:pPr>
        <w:spacing w:line="360" w:lineRule="auto"/>
        <w:ind w:firstLine="720" w:firstLineChars="300"/>
        <w:rPr>
          <w:rFonts w:hint="eastAsia" w:ascii="宋体" w:hAnsi="宋体"/>
          <w:color w:val="auto"/>
          <w:sz w:val="24"/>
        </w:rPr>
      </w:pPr>
      <w:r>
        <w:rPr>
          <w:rFonts w:hint="eastAsia" w:ascii="宋体" w:hAnsi="宋体"/>
          <w:color w:val="auto"/>
          <w:sz w:val="24"/>
        </w:rPr>
        <w:t>2、付款方式：合作期内整体固定服务费方式，每季度分摊结算一次。每季度按照医院实际消毒的器械量进行付款。</w:t>
      </w:r>
    </w:p>
    <w:p>
      <w:pPr>
        <w:spacing w:line="360" w:lineRule="auto"/>
        <w:ind w:firstLine="720" w:firstLineChars="300"/>
        <w:rPr>
          <w:rFonts w:hint="eastAsia" w:ascii="宋体" w:hAnsi="宋体"/>
          <w:sz w:val="24"/>
        </w:rPr>
      </w:pPr>
      <w:r>
        <w:rPr>
          <w:rFonts w:hint="eastAsia" w:ascii="宋体"/>
          <w:color w:val="auto"/>
          <w:sz w:val="24"/>
        </w:rPr>
        <w:t>★</w:t>
      </w:r>
      <w:r>
        <w:rPr>
          <w:rFonts w:hint="eastAsia" w:ascii="宋体" w:hAnsi="宋体"/>
          <w:color w:val="auto"/>
          <w:sz w:val="24"/>
        </w:rPr>
        <w:t>3、</w:t>
      </w:r>
      <w:r>
        <w:rPr>
          <w:rFonts w:ascii="宋体" w:hAnsi="宋体"/>
          <w:color w:val="auto"/>
          <w:sz w:val="24"/>
        </w:rPr>
        <w:t>院方场地及设备有偿租赁提供使用，租赁价格为</w:t>
      </w:r>
      <w:r>
        <w:rPr>
          <w:rFonts w:hint="eastAsia" w:ascii="宋体" w:hAnsi="宋体"/>
          <w:color w:val="auto"/>
          <w:sz w:val="24"/>
        </w:rPr>
        <w:t>103.8</w:t>
      </w:r>
      <w:r>
        <w:rPr>
          <w:rFonts w:ascii="宋体" w:hAnsi="宋体"/>
          <w:color w:val="auto"/>
          <w:sz w:val="24"/>
        </w:rPr>
        <w:t>万元/年</w:t>
      </w:r>
      <w:r>
        <w:rPr>
          <w:rFonts w:hint="eastAsia" w:ascii="宋体" w:hAnsi="宋体"/>
          <w:color w:val="auto"/>
          <w:sz w:val="24"/>
        </w:rPr>
        <w:t>，</w:t>
      </w:r>
      <w:r>
        <w:rPr>
          <w:rFonts w:hint="eastAsia" w:ascii="宋体" w:hAnsi="宋体"/>
          <w:sz w:val="24"/>
        </w:rPr>
        <w:t>费用按季度结算在服务费内。</w:t>
      </w:r>
    </w:p>
    <w:p>
      <w:pPr>
        <w:spacing w:line="360" w:lineRule="auto"/>
        <w:ind w:firstLine="720" w:firstLineChars="300"/>
        <w:rPr>
          <w:rFonts w:hint="eastAsia" w:ascii="宋体" w:hAnsi="宋体"/>
          <w:color w:val="auto"/>
          <w:sz w:val="24"/>
        </w:rPr>
      </w:pPr>
      <w:r>
        <w:rPr>
          <w:rFonts w:hint="eastAsia" w:ascii="宋体"/>
          <w:color w:val="auto"/>
          <w:sz w:val="24"/>
        </w:rPr>
        <w:t>★</w:t>
      </w:r>
      <w:r>
        <w:rPr>
          <w:rFonts w:hint="eastAsia" w:ascii="宋体" w:hAnsi="宋体"/>
          <w:color w:val="auto"/>
          <w:sz w:val="24"/>
        </w:rPr>
        <w:t>4、乙方需承担包括但不限于水电、蒸汽等相关费用。因工作需要，乙方需购置的设备、耗材、聘用工作人员等有关投资，与医院无关，医院不承担任何的责任。</w:t>
      </w:r>
    </w:p>
    <w:p>
      <w:pPr>
        <w:spacing w:line="360" w:lineRule="auto"/>
        <w:ind w:firstLine="720" w:firstLineChars="300"/>
        <w:rPr>
          <w:rFonts w:hint="eastAsia" w:ascii="宋体" w:hAnsi="宋体"/>
          <w:color w:val="auto"/>
          <w:sz w:val="24"/>
        </w:rPr>
      </w:pPr>
      <w:r>
        <w:rPr>
          <w:rFonts w:hint="eastAsia" w:ascii="宋体"/>
          <w:color w:val="auto"/>
          <w:sz w:val="24"/>
        </w:rPr>
        <w:t>★</w:t>
      </w:r>
      <w:r>
        <w:rPr>
          <w:rFonts w:hint="eastAsia" w:ascii="宋体" w:hAnsi="宋体"/>
          <w:color w:val="auto"/>
          <w:sz w:val="24"/>
        </w:rPr>
        <w:t>5、乙方需承担院方提供的包括但不限于6名相关工作人员的工资、社保、公积金、绩效、奖金、培训等相关人事费用。6名工作人员的待遇不低于医院同类人员待遇。</w:t>
      </w:r>
    </w:p>
    <w:p>
      <w:pPr>
        <w:spacing w:line="360" w:lineRule="auto"/>
        <w:ind w:firstLine="720" w:firstLineChars="300"/>
        <w:rPr>
          <w:rFonts w:hint="eastAsia" w:ascii="宋体" w:hAnsi="宋体"/>
          <w:color w:val="auto"/>
          <w:sz w:val="24"/>
        </w:rPr>
      </w:pPr>
      <w:r>
        <w:rPr>
          <w:rFonts w:hint="eastAsia" w:ascii="宋体" w:hAnsi="宋体"/>
          <w:color w:val="auto"/>
          <w:sz w:val="24"/>
        </w:rPr>
        <w:t>6、乙方通过外接业务，为医院增加收益，毛利不低于10%归院方，具体内容双方友好协商签订。</w:t>
      </w:r>
    </w:p>
    <w:p>
      <w:pPr>
        <w:spacing w:line="360" w:lineRule="auto"/>
        <w:ind w:firstLine="720" w:firstLineChars="300"/>
        <w:rPr>
          <w:rFonts w:hint="eastAsia" w:ascii="宋体" w:hAnsi="宋体"/>
          <w:color w:val="auto"/>
          <w:sz w:val="24"/>
        </w:rPr>
      </w:pPr>
      <w:r>
        <w:rPr>
          <w:rFonts w:hint="eastAsia" w:ascii="宋体" w:hAnsi="宋体"/>
          <w:color w:val="auto"/>
          <w:sz w:val="24"/>
        </w:rPr>
        <w:t>7、消毒供应服务外包后，医院内部消毒供应产品的感控风险由成交供应商负责，因此造成的损失由供应商负责。</w:t>
      </w:r>
    </w:p>
    <w:p>
      <w:pPr>
        <w:ind w:firstLine="960" w:firstLineChars="400"/>
        <w:rPr>
          <w:rFonts w:hint="eastAsia" w:ascii="宋体" w:hAnsi="宋体"/>
          <w:color w:val="auto"/>
          <w:sz w:val="24"/>
        </w:rPr>
      </w:pPr>
      <w:r>
        <w:rPr>
          <w:rFonts w:hint="eastAsia" w:ascii="宋体" w:hAnsi="宋体"/>
          <w:color w:val="auto"/>
          <w:sz w:val="24"/>
        </w:rPr>
        <w:t>注：标注★的条款，供应商如不满足，按照废标处理。</w:t>
      </w:r>
    </w:p>
    <w:p>
      <w:pPr>
        <w:rPr>
          <w:rFonts w:hint="eastAsia"/>
        </w:rPr>
      </w:pPr>
    </w:p>
    <w:p>
      <w:pPr>
        <w:rPr>
          <w:rFonts w:hint="eastAsia"/>
        </w:rPr>
      </w:pPr>
    </w:p>
    <w:p>
      <w:pPr>
        <w:spacing w:line="360" w:lineRule="auto"/>
        <w:rPr>
          <w:rFonts w:hint="eastAsia" w:ascii="宋体" w:hAnsi="宋体"/>
          <w:b/>
          <w:bCs/>
          <w:sz w:val="24"/>
          <w:lang w:val="en-US" w:eastAsia="zh-CN"/>
        </w:rPr>
      </w:pPr>
      <w:r>
        <w:rPr>
          <w:rFonts w:hint="eastAsia" w:ascii="宋体" w:hAnsi="宋体"/>
          <w:b/>
          <w:bCs/>
          <w:sz w:val="24"/>
          <w:lang w:val="en-US" w:eastAsia="zh-CN"/>
        </w:rPr>
        <w:t>五、评标办法</w:t>
      </w:r>
    </w:p>
    <w:p>
      <w:pPr>
        <w:rPr>
          <w:rFonts w:ascii="宋体"/>
          <w:sz w:val="24"/>
        </w:rPr>
      </w:pPr>
    </w:p>
    <w:tbl>
      <w:tblPr>
        <w:tblStyle w:val="17"/>
        <w:tblW w:w="953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
        <w:gridCol w:w="1295"/>
        <w:gridCol w:w="7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64" w:type="dxa"/>
            <w:noWrap w:val="0"/>
            <w:vAlign w:val="center"/>
          </w:tcPr>
          <w:p>
            <w:pPr>
              <w:spacing w:line="288" w:lineRule="auto"/>
              <w:jc w:val="left"/>
              <w:rPr>
                <w:rFonts w:ascii="宋体" w:hAnsi="宋体"/>
                <w:color w:val="000000"/>
                <w:sz w:val="24"/>
              </w:rPr>
            </w:pPr>
            <w:r>
              <w:rPr>
                <w:rFonts w:hint="eastAsia" w:ascii="宋体" w:hAnsi="宋体"/>
                <w:color w:val="000000"/>
                <w:sz w:val="24"/>
              </w:rPr>
              <w:t>序号</w:t>
            </w:r>
          </w:p>
        </w:tc>
        <w:tc>
          <w:tcPr>
            <w:tcW w:w="1295" w:type="dxa"/>
            <w:noWrap w:val="0"/>
            <w:vAlign w:val="center"/>
          </w:tcPr>
          <w:p>
            <w:pPr>
              <w:spacing w:line="288" w:lineRule="auto"/>
              <w:jc w:val="center"/>
              <w:rPr>
                <w:rFonts w:ascii="宋体" w:hAnsi="宋体"/>
                <w:color w:val="000000"/>
                <w:sz w:val="24"/>
              </w:rPr>
            </w:pPr>
            <w:r>
              <w:rPr>
                <w:rFonts w:hint="eastAsia" w:ascii="宋体" w:hAnsi="宋体"/>
                <w:color w:val="000000"/>
                <w:sz w:val="24"/>
              </w:rPr>
              <w:t>分值</w:t>
            </w:r>
          </w:p>
        </w:tc>
        <w:tc>
          <w:tcPr>
            <w:tcW w:w="7377" w:type="dxa"/>
            <w:noWrap w:val="0"/>
            <w:vAlign w:val="center"/>
          </w:tcPr>
          <w:p>
            <w:pPr>
              <w:spacing w:line="288" w:lineRule="auto"/>
              <w:jc w:val="center"/>
              <w:rPr>
                <w:rFonts w:ascii="宋体" w:hAnsi="宋体"/>
                <w:color w:val="auto"/>
                <w:sz w:val="24"/>
              </w:rPr>
            </w:pPr>
            <w:r>
              <w:rPr>
                <w:rFonts w:hint="eastAsia" w:ascii="宋体" w:hAnsi="宋体"/>
                <w:color w:val="auto"/>
                <w:sz w:val="24"/>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64" w:type="dxa"/>
            <w:noWrap w:val="0"/>
            <w:vAlign w:val="center"/>
          </w:tcPr>
          <w:p>
            <w:pPr>
              <w:spacing w:line="288" w:lineRule="auto"/>
              <w:jc w:val="left"/>
              <w:rPr>
                <w:rFonts w:ascii="宋体" w:hAnsi="宋体"/>
                <w:color w:val="000000"/>
                <w:sz w:val="24"/>
              </w:rPr>
            </w:pPr>
            <w:r>
              <w:rPr>
                <w:rFonts w:hint="eastAsia" w:ascii="宋体" w:hAnsi="宋体"/>
                <w:color w:val="000000"/>
                <w:sz w:val="24"/>
              </w:rPr>
              <w:t>1</w:t>
            </w:r>
          </w:p>
        </w:tc>
        <w:tc>
          <w:tcPr>
            <w:tcW w:w="1295" w:type="dxa"/>
            <w:noWrap w:val="0"/>
            <w:vAlign w:val="center"/>
          </w:tcPr>
          <w:p>
            <w:pPr>
              <w:spacing w:line="288" w:lineRule="auto"/>
              <w:jc w:val="center"/>
              <w:rPr>
                <w:rFonts w:ascii="宋体" w:hAnsi="宋体"/>
                <w:b/>
                <w:color w:val="000000"/>
                <w:sz w:val="24"/>
              </w:rPr>
            </w:pPr>
            <w:r>
              <w:rPr>
                <w:rFonts w:hint="eastAsia" w:ascii="宋体" w:hAnsi="宋体"/>
                <w:b/>
                <w:color w:val="000000"/>
                <w:sz w:val="24"/>
              </w:rPr>
              <w:t>价格</w:t>
            </w:r>
          </w:p>
          <w:p>
            <w:pPr>
              <w:spacing w:line="288" w:lineRule="auto"/>
              <w:jc w:val="center"/>
              <w:rPr>
                <w:rFonts w:ascii="宋体" w:hAnsi="宋体"/>
                <w:color w:val="000000"/>
                <w:sz w:val="24"/>
              </w:rPr>
            </w:pPr>
            <w:r>
              <w:rPr>
                <w:rFonts w:hint="eastAsia" w:ascii="宋体" w:hAnsi="宋体"/>
                <w:b/>
                <w:color w:val="000000"/>
                <w:sz w:val="24"/>
              </w:rPr>
              <w:t>（2</w:t>
            </w:r>
            <w:r>
              <w:rPr>
                <w:rFonts w:ascii="宋体" w:hAnsi="宋体"/>
                <w:b/>
                <w:color w:val="000000"/>
                <w:sz w:val="24"/>
              </w:rPr>
              <w:t>0</w:t>
            </w:r>
            <w:r>
              <w:rPr>
                <w:rFonts w:hint="eastAsia" w:ascii="宋体" w:hAnsi="宋体"/>
                <w:b/>
                <w:color w:val="000000"/>
                <w:sz w:val="24"/>
              </w:rPr>
              <w:t>分）</w:t>
            </w:r>
          </w:p>
        </w:tc>
        <w:tc>
          <w:tcPr>
            <w:tcW w:w="7377" w:type="dxa"/>
            <w:noWrap w:val="0"/>
            <w:vAlign w:val="center"/>
          </w:tcPr>
          <w:p>
            <w:pPr>
              <w:spacing w:line="288" w:lineRule="auto"/>
              <w:jc w:val="left"/>
              <w:rPr>
                <w:rFonts w:hint="eastAsia" w:ascii="宋体" w:hAnsi="宋体"/>
                <w:color w:val="auto"/>
                <w:sz w:val="24"/>
              </w:rPr>
            </w:pPr>
            <w:r>
              <w:rPr>
                <w:rFonts w:hint="eastAsia" w:ascii="宋体" w:hAnsi="宋体"/>
                <w:color w:val="auto"/>
                <w:sz w:val="24"/>
              </w:rPr>
              <w:t>价格分统一采用低价优先法，即满足招标文件要求且投标价格最低的投标报价为评标基准价，其价格分为满分20 分。其他投标人的价格分统一按照下列公式计算：</w:t>
            </w:r>
          </w:p>
          <w:p>
            <w:pPr>
              <w:spacing w:line="288" w:lineRule="auto"/>
              <w:jc w:val="left"/>
              <w:rPr>
                <w:rFonts w:ascii="宋体" w:hAnsi="宋体"/>
                <w:color w:val="auto"/>
                <w:sz w:val="24"/>
              </w:rPr>
            </w:pPr>
            <w:r>
              <w:rPr>
                <w:rFonts w:hint="eastAsia" w:ascii="宋体" w:hAnsi="宋体"/>
                <w:color w:val="auto"/>
                <w:sz w:val="24"/>
              </w:rPr>
              <w:t>投标报价得分＝（评标基准价/投标报价）× 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64" w:type="dxa"/>
            <w:vMerge w:val="restart"/>
            <w:noWrap w:val="0"/>
            <w:vAlign w:val="center"/>
          </w:tcPr>
          <w:p>
            <w:pPr>
              <w:spacing w:line="288" w:lineRule="auto"/>
              <w:jc w:val="left"/>
              <w:rPr>
                <w:rFonts w:ascii="宋体" w:hAnsi="宋体"/>
                <w:color w:val="000000"/>
                <w:sz w:val="24"/>
              </w:rPr>
            </w:pPr>
            <w:r>
              <w:rPr>
                <w:rFonts w:hint="eastAsia" w:ascii="宋体" w:hAnsi="宋体"/>
                <w:color w:val="000000"/>
                <w:sz w:val="24"/>
              </w:rPr>
              <w:t>2</w:t>
            </w:r>
          </w:p>
        </w:tc>
        <w:tc>
          <w:tcPr>
            <w:tcW w:w="1295" w:type="dxa"/>
            <w:vMerge w:val="restart"/>
            <w:noWrap w:val="0"/>
            <w:vAlign w:val="center"/>
          </w:tcPr>
          <w:p>
            <w:pPr>
              <w:spacing w:line="288" w:lineRule="auto"/>
              <w:jc w:val="left"/>
              <w:rPr>
                <w:rFonts w:ascii="宋体" w:hAnsi="宋体"/>
                <w:b/>
                <w:color w:val="000000"/>
                <w:sz w:val="24"/>
              </w:rPr>
            </w:pPr>
            <w:r>
              <w:rPr>
                <w:rFonts w:hint="eastAsia" w:ascii="宋体" w:hAnsi="宋体"/>
                <w:b/>
                <w:color w:val="000000"/>
                <w:sz w:val="24"/>
              </w:rPr>
              <w:t>服务方案</w:t>
            </w:r>
          </w:p>
          <w:p>
            <w:pPr>
              <w:spacing w:line="288" w:lineRule="auto"/>
              <w:jc w:val="left"/>
              <w:rPr>
                <w:rFonts w:ascii="宋体" w:hAnsi="宋体"/>
                <w:color w:val="000000"/>
                <w:sz w:val="24"/>
              </w:rPr>
            </w:pPr>
            <w:r>
              <w:rPr>
                <w:rFonts w:hint="eastAsia" w:ascii="宋体" w:hAnsi="宋体"/>
                <w:b/>
                <w:color w:val="000000"/>
                <w:sz w:val="24"/>
              </w:rPr>
              <w:t>（28分）</w:t>
            </w:r>
          </w:p>
        </w:tc>
        <w:tc>
          <w:tcPr>
            <w:tcW w:w="7377" w:type="dxa"/>
            <w:noWrap w:val="0"/>
            <w:vAlign w:val="center"/>
          </w:tcPr>
          <w:p>
            <w:pPr>
              <w:spacing w:line="288" w:lineRule="auto"/>
              <w:jc w:val="left"/>
              <w:rPr>
                <w:rFonts w:ascii="宋体" w:hAnsi="宋体"/>
                <w:b/>
                <w:color w:val="000000"/>
                <w:sz w:val="24"/>
              </w:rPr>
            </w:pPr>
            <w:r>
              <w:rPr>
                <w:rFonts w:hint="eastAsia" w:ascii="宋体" w:hAnsi="宋体"/>
                <w:b/>
                <w:color w:val="000000"/>
                <w:sz w:val="24"/>
              </w:rPr>
              <w:t>服务总体方案（4分）</w:t>
            </w:r>
          </w:p>
          <w:p>
            <w:pPr>
              <w:spacing w:line="288" w:lineRule="auto"/>
              <w:jc w:val="left"/>
              <w:rPr>
                <w:rFonts w:ascii="宋体" w:hAnsi="宋体"/>
                <w:color w:val="000000"/>
                <w:sz w:val="24"/>
              </w:rPr>
            </w:pPr>
            <w:r>
              <w:rPr>
                <w:rFonts w:hint="eastAsia" w:ascii="宋体" w:hAnsi="宋体"/>
                <w:color w:val="000000"/>
                <w:sz w:val="24"/>
              </w:rPr>
              <w:t>评委根据投标人提供的服务方案（包括服务管理工作目标定位、实施方案、工作流程等）的服务设想、起点、定位、针对性，以及本项目重点、难点把控等情况进行评分。</w:t>
            </w:r>
          </w:p>
          <w:p>
            <w:pPr>
              <w:spacing w:line="288" w:lineRule="auto"/>
              <w:jc w:val="left"/>
              <w:rPr>
                <w:rFonts w:ascii="宋体" w:hAnsi="宋体"/>
                <w:color w:val="000000"/>
                <w:sz w:val="24"/>
              </w:rPr>
            </w:pPr>
            <w:r>
              <w:rPr>
                <w:rFonts w:hint="eastAsia" w:ascii="宋体" w:hAnsi="宋体"/>
                <w:color w:val="000000"/>
                <w:sz w:val="24"/>
              </w:rPr>
              <w:t>优秀：（3-4</w:t>
            </w:r>
            <w:r>
              <w:rPr>
                <w:rFonts w:hint="eastAsia" w:ascii="宋体" w:hAnsi="宋体"/>
                <w:color w:val="000000"/>
                <w:sz w:val="24"/>
                <w:lang w:eastAsia="zh-CN"/>
              </w:rPr>
              <w:t>）</w:t>
            </w:r>
            <w:r>
              <w:rPr>
                <w:rFonts w:hint="eastAsia" w:ascii="宋体" w:hAnsi="宋体"/>
                <w:color w:val="000000"/>
                <w:sz w:val="24"/>
              </w:rPr>
              <w:t>分；良好（2-3</w:t>
            </w:r>
            <w:r>
              <w:rPr>
                <w:rFonts w:hint="eastAsia" w:ascii="宋体" w:hAnsi="宋体"/>
                <w:color w:val="000000"/>
                <w:sz w:val="24"/>
                <w:lang w:eastAsia="zh-CN"/>
              </w:rPr>
              <w:t>）</w:t>
            </w:r>
            <w:r>
              <w:rPr>
                <w:rFonts w:hint="eastAsia" w:ascii="宋体" w:hAnsi="宋体"/>
                <w:color w:val="000000"/>
                <w:sz w:val="24"/>
              </w:rPr>
              <w:t>分；一般（1-2</w:t>
            </w:r>
            <w:r>
              <w:rPr>
                <w:rFonts w:hint="eastAsia" w:ascii="宋体" w:hAnsi="宋体"/>
                <w:color w:val="000000"/>
                <w:sz w:val="24"/>
                <w:lang w:eastAsia="zh-CN"/>
              </w:rPr>
              <w:t>）</w:t>
            </w:r>
            <w:r>
              <w:rPr>
                <w:rFonts w:hint="eastAsia" w:ascii="宋体" w:hAnsi="宋体"/>
                <w:color w:val="000000"/>
                <w:sz w:val="24"/>
              </w:rPr>
              <w:t>；差 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64" w:type="dxa"/>
            <w:vMerge w:val="continue"/>
            <w:noWrap w:val="0"/>
            <w:vAlign w:val="center"/>
          </w:tcPr>
          <w:p>
            <w:pPr>
              <w:spacing w:line="288" w:lineRule="auto"/>
              <w:jc w:val="left"/>
              <w:rPr>
                <w:rFonts w:ascii="宋体" w:hAnsi="宋体"/>
                <w:color w:val="000000"/>
                <w:sz w:val="24"/>
              </w:rPr>
            </w:pPr>
          </w:p>
        </w:tc>
        <w:tc>
          <w:tcPr>
            <w:tcW w:w="1295" w:type="dxa"/>
            <w:vMerge w:val="continue"/>
            <w:noWrap w:val="0"/>
            <w:vAlign w:val="center"/>
          </w:tcPr>
          <w:p>
            <w:pPr>
              <w:spacing w:line="288" w:lineRule="auto"/>
              <w:jc w:val="left"/>
              <w:rPr>
                <w:rFonts w:ascii="宋体" w:hAnsi="宋体"/>
                <w:color w:val="000000"/>
                <w:sz w:val="24"/>
              </w:rPr>
            </w:pPr>
          </w:p>
        </w:tc>
        <w:tc>
          <w:tcPr>
            <w:tcW w:w="7377" w:type="dxa"/>
            <w:noWrap w:val="0"/>
            <w:vAlign w:val="center"/>
          </w:tcPr>
          <w:p>
            <w:pPr>
              <w:spacing w:line="288" w:lineRule="auto"/>
              <w:jc w:val="left"/>
              <w:rPr>
                <w:rFonts w:ascii="宋体" w:hAnsi="宋体"/>
                <w:b/>
                <w:color w:val="000000"/>
                <w:sz w:val="24"/>
              </w:rPr>
            </w:pPr>
            <w:r>
              <w:rPr>
                <w:rFonts w:hint="eastAsia" w:ascii="宋体" w:hAnsi="宋体"/>
                <w:b/>
                <w:color w:val="000000"/>
                <w:sz w:val="24"/>
              </w:rPr>
              <w:t>企业内部管理规章制度（3分）</w:t>
            </w:r>
          </w:p>
          <w:p>
            <w:pPr>
              <w:spacing w:line="288" w:lineRule="auto"/>
              <w:jc w:val="left"/>
              <w:rPr>
                <w:rFonts w:ascii="宋体" w:hAnsi="宋体"/>
                <w:color w:val="000000"/>
                <w:sz w:val="24"/>
              </w:rPr>
            </w:pPr>
            <w:r>
              <w:rPr>
                <w:rFonts w:hint="eastAsia" w:ascii="宋体" w:hAnsi="宋体"/>
                <w:color w:val="000000"/>
                <w:sz w:val="24"/>
              </w:rPr>
              <w:t>根据所投项目的组织架构、企业规章制度的计划性、合理性、及时性、适宜性情况评分。</w:t>
            </w:r>
          </w:p>
          <w:p>
            <w:pPr>
              <w:spacing w:line="288" w:lineRule="auto"/>
              <w:jc w:val="left"/>
              <w:rPr>
                <w:rFonts w:hint="eastAsia" w:ascii="宋体" w:hAnsi="宋体"/>
                <w:color w:val="000000"/>
                <w:sz w:val="24"/>
              </w:rPr>
            </w:pPr>
            <w:r>
              <w:rPr>
                <w:rFonts w:hint="eastAsia" w:ascii="宋体" w:hAnsi="宋体"/>
                <w:color w:val="000000"/>
                <w:sz w:val="24"/>
              </w:rPr>
              <w:t>优秀：（2-3）分；良好（1-2</w:t>
            </w:r>
            <w:r>
              <w:rPr>
                <w:rFonts w:hint="eastAsia" w:ascii="宋体" w:hAnsi="宋体"/>
                <w:color w:val="000000"/>
                <w:sz w:val="24"/>
                <w:lang w:eastAsia="zh-CN"/>
              </w:rPr>
              <w:t>）</w:t>
            </w:r>
            <w:r>
              <w:rPr>
                <w:rFonts w:hint="eastAsia" w:ascii="宋体" w:hAnsi="宋体"/>
                <w:color w:val="000000"/>
                <w:sz w:val="24"/>
              </w:rPr>
              <w:t>分；一般（1</w:t>
            </w:r>
            <w:r>
              <w:rPr>
                <w:rFonts w:hint="eastAsia" w:ascii="宋体" w:hAnsi="宋体"/>
                <w:color w:val="000000"/>
                <w:sz w:val="24"/>
                <w:lang w:eastAsia="zh-CN"/>
              </w:rPr>
              <w:t>）</w:t>
            </w:r>
            <w:r>
              <w:rPr>
                <w:rFonts w:hint="eastAsia" w:ascii="宋体" w:hAnsi="宋体"/>
                <w:color w:val="000000"/>
                <w:sz w:val="24"/>
              </w:rPr>
              <w:t>；差 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64" w:type="dxa"/>
            <w:vMerge w:val="continue"/>
            <w:noWrap w:val="0"/>
            <w:vAlign w:val="center"/>
          </w:tcPr>
          <w:p>
            <w:pPr>
              <w:spacing w:line="288" w:lineRule="auto"/>
              <w:jc w:val="left"/>
              <w:rPr>
                <w:rFonts w:ascii="宋体" w:hAnsi="宋体"/>
                <w:color w:val="000000"/>
                <w:sz w:val="24"/>
              </w:rPr>
            </w:pPr>
          </w:p>
        </w:tc>
        <w:tc>
          <w:tcPr>
            <w:tcW w:w="1295" w:type="dxa"/>
            <w:vMerge w:val="continue"/>
            <w:noWrap w:val="0"/>
            <w:vAlign w:val="center"/>
          </w:tcPr>
          <w:p>
            <w:pPr>
              <w:spacing w:line="288" w:lineRule="auto"/>
              <w:jc w:val="left"/>
              <w:rPr>
                <w:rFonts w:ascii="宋体" w:hAnsi="宋体"/>
                <w:color w:val="000000"/>
                <w:sz w:val="24"/>
              </w:rPr>
            </w:pPr>
          </w:p>
        </w:tc>
        <w:tc>
          <w:tcPr>
            <w:tcW w:w="7377" w:type="dxa"/>
            <w:noWrap w:val="0"/>
            <w:vAlign w:val="center"/>
          </w:tcPr>
          <w:p>
            <w:pPr>
              <w:spacing w:line="288" w:lineRule="auto"/>
              <w:jc w:val="left"/>
              <w:rPr>
                <w:rFonts w:ascii="宋体" w:hAnsi="宋体"/>
                <w:b/>
                <w:color w:val="000000"/>
                <w:sz w:val="24"/>
              </w:rPr>
            </w:pPr>
            <w:r>
              <w:rPr>
                <w:rFonts w:hint="eastAsia" w:ascii="宋体" w:hAnsi="宋体"/>
                <w:b/>
                <w:color w:val="000000"/>
                <w:sz w:val="24"/>
              </w:rPr>
              <w:t>清洗消毒设施情况（3分）</w:t>
            </w:r>
          </w:p>
          <w:p>
            <w:pPr>
              <w:spacing w:line="288" w:lineRule="auto"/>
              <w:jc w:val="left"/>
              <w:rPr>
                <w:rFonts w:hint="eastAsia" w:ascii="宋体" w:hAnsi="宋体"/>
                <w:color w:val="000000"/>
                <w:sz w:val="24"/>
              </w:rPr>
            </w:pPr>
            <w:r>
              <w:rPr>
                <w:rFonts w:hint="eastAsia" w:ascii="宋体" w:hAnsi="宋体"/>
                <w:color w:val="000000"/>
                <w:sz w:val="24"/>
              </w:rPr>
              <w:t>根据招标文件要求，提供投入本项目详细的设备配置情况。</w:t>
            </w:r>
          </w:p>
          <w:p>
            <w:pPr>
              <w:spacing w:line="288" w:lineRule="auto"/>
              <w:jc w:val="left"/>
              <w:rPr>
                <w:rFonts w:ascii="宋体" w:hAnsi="宋体"/>
                <w:color w:val="000000"/>
                <w:sz w:val="24"/>
              </w:rPr>
            </w:pPr>
            <w:r>
              <w:rPr>
                <w:rFonts w:hint="eastAsia" w:ascii="宋体" w:hAnsi="宋体"/>
                <w:color w:val="000000"/>
                <w:sz w:val="24"/>
              </w:rPr>
              <w:t>评审专家根据供应商所投入的设备质量、硬件服务能力的了解，对供应商投入设备情况进行综合评价并评分。</w:t>
            </w:r>
          </w:p>
          <w:p>
            <w:pPr>
              <w:spacing w:line="288" w:lineRule="auto"/>
              <w:jc w:val="left"/>
              <w:rPr>
                <w:rFonts w:ascii="宋体" w:hAnsi="宋体"/>
                <w:color w:val="000000"/>
                <w:sz w:val="24"/>
              </w:rPr>
            </w:pPr>
            <w:r>
              <w:rPr>
                <w:rFonts w:hint="eastAsia" w:ascii="宋体" w:hAnsi="宋体"/>
                <w:color w:val="000000"/>
                <w:sz w:val="24"/>
              </w:rPr>
              <w:t>优秀：（2-3）分；良好（1-2</w:t>
            </w:r>
            <w:r>
              <w:rPr>
                <w:rFonts w:hint="eastAsia" w:ascii="宋体" w:hAnsi="宋体"/>
                <w:color w:val="000000"/>
                <w:sz w:val="24"/>
                <w:lang w:eastAsia="zh-CN"/>
              </w:rPr>
              <w:t>）</w:t>
            </w:r>
            <w:r>
              <w:rPr>
                <w:rFonts w:hint="eastAsia" w:ascii="宋体" w:hAnsi="宋体"/>
                <w:color w:val="000000"/>
                <w:sz w:val="24"/>
              </w:rPr>
              <w:t>分；一般（1</w:t>
            </w:r>
            <w:r>
              <w:rPr>
                <w:rFonts w:hint="eastAsia" w:ascii="宋体" w:hAnsi="宋体"/>
                <w:color w:val="000000"/>
                <w:sz w:val="24"/>
                <w:lang w:eastAsia="zh-CN"/>
              </w:rPr>
              <w:t>）</w:t>
            </w:r>
            <w:r>
              <w:rPr>
                <w:rFonts w:hint="eastAsia" w:ascii="宋体" w:hAnsi="宋体"/>
                <w:color w:val="000000"/>
                <w:sz w:val="24"/>
              </w:rPr>
              <w:t>；差 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64" w:type="dxa"/>
            <w:vMerge w:val="continue"/>
            <w:noWrap w:val="0"/>
            <w:vAlign w:val="center"/>
          </w:tcPr>
          <w:p>
            <w:pPr>
              <w:spacing w:line="288" w:lineRule="auto"/>
              <w:jc w:val="left"/>
              <w:rPr>
                <w:rFonts w:ascii="宋体" w:hAnsi="宋体"/>
                <w:color w:val="000000"/>
                <w:sz w:val="24"/>
              </w:rPr>
            </w:pPr>
          </w:p>
        </w:tc>
        <w:tc>
          <w:tcPr>
            <w:tcW w:w="1295" w:type="dxa"/>
            <w:vMerge w:val="continue"/>
            <w:noWrap w:val="0"/>
            <w:vAlign w:val="center"/>
          </w:tcPr>
          <w:p>
            <w:pPr>
              <w:spacing w:line="288" w:lineRule="auto"/>
              <w:jc w:val="left"/>
              <w:rPr>
                <w:rFonts w:ascii="宋体" w:hAnsi="宋体"/>
                <w:color w:val="000000"/>
                <w:sz w:val="24"/>
              </w:rPr>
            </w:pPr>
          </w:p>
        </w:tc>
        <w:tc>
          <w:tcPr>
            <w:tcW w:w="7377" w:type="dxa"/>
            <w:noWrap w:val="0"/>
            <w:vAlign w:val="center"/>
          </w:tcPr>
          <w:p>
            <w:pPr>
              <w:spacing w:line="288" w:lineRule="auto"/>
              <w:jc w:val="left"/>
              <w:rPr>
                <w:rFonts w:ascii="宋体" w:hAnsi="宋体"/>
                <w:b/>
                <w:color w:val="000000"/>
                <w:sz w:val="24"/>
              </w:rPr>
            </w:pPr>
            <w:r>
              <w:rPr>
                <w:rFonts w:hint="eastAsia" w:ascii="宋体" w:hAnsi="宋体"/>
                <w:b/>
                <w:color w:val="000000"/>
                <w:sz w:val="24"/>
              </w:rPr>
              <w:t>人员配置方案（4分）</w:t>
            </w:r>
          </w:p>
          <w:p>
            <w:pPr>
              <w:spacing w:line="288" w:lineRule="auto"/>
              <w:jc w:val="left"/>
              <w:rPr>
                <w:rFonts w:ascii="宋体" w:hAnsi="宋体"/>
                <w:color w:val="000000"/>
                <w:sz w:val="24"/>
              </w:rPr>
            </w:pPr>
            <w:r>
              <w:rPr>
                <w:rFonts w:hint="eastAsia" w:ascii="宋体" w:hAnsi="宋体"/>
                <w:color w:val="000000"/>
                <w:sz w:val="24"/>
              </w:rPr>
              <w:t>评委根据投标人提供针对医院清洗消毒要求提供的岗位设置、人员配置方案，根据方案的全面性、合理性、质控标准、岗位的特征性及可操作性等进行评分。</w:t>
            </w:r>
          </w:p>
          <w:p>
            <w:pPr>
              <w:rPr>
                <w:rFonts w:hint="eastAsia" w:ascii="宋体" w:hAnsi="宋体"/>
                <w:color w:val="000000"/>
                <w:sz w:val="24"/>
              </w:rPr>
            </w:pPr>
            <w:r>
              <w:rPr>
                <w:rFonts w:hint="eastAsia" w:ascii="宋体" w:hAnsi="宋体"/>
                <w:color w:val="000000"/>
                <w:sz w:val="24"/>
              </w:rPr>
              <w:t>优秀：（1-2</w:t>
            </w:r>
            <w:r>
              <w:rPr>
                <w:rFonts w:hint="eastAsia" w:ascii="宋体" w:hAnsi="宋体"/>
                <w:color w:val="000000"/>
                <w:sz w:val="24"/>
                <w:lang w:eastAsia="zh-CN"/>
              </w:rPr>
              <w:t>）</w:t>
            </w:r>
            <w:r>
              <w:rPr>
                <w:rFonts w:hint="eastAsia" w:ascii="宋体" w:hAnsi="宋体"/>
                <w:color w:val="000000"/>
                <w:sz w:val="24"/>
              </w:rPr>
              <w:t>分；良好（0.5-1</w:t>
            </w:r>
            <w:r>
              <w:rPr>
                <w:rFonts w:hint="eastAsia" w:ascii="宋体" w:hAnsi="宋体"/>
                <w:color w:val="000000"/>
                <w:sz w:val="24"/>
                <w:lang w:eastAsia="zh-CN"/>
              </w:rPr>
              <w:t>）</w:t>
            </w:r>
            <w:r>
              <w:rPr>
                <w:rFonts w:hint="eastAsia" w:ascii="宋体" w:hAnsi="宋体"/>
                <w:color w:val="000000"/>
                <w:sz w:val="24"/>
              </w:rPr>
              <w:t>分；一般（0-0.5</w:t>
            </w:r>
            <w:r>
              <w:rPr>
                <w:rFonts w:hint="eastAsia" w:ascii="宋体" w:hAnsi="宋体"/>
                <w:color w:val="000000"/>
                <w:sz w:val="24"/>
                <w:lang w:eastAsia="zh-CN"/>
              </w:rPr>
              <w:t>）</w:t>
            </w:r>
            <w:r>
              <w:rPr>
                <w:rFonts w:hint="eastAsia" w:ascii="宋体" w:hAnsi="宋体"/>
                <w:color w:val="000000"/>
                <w:sz w:val="24"/>
              </w:rPr>
              <w:t>；差 0分</w:t>
            </w:r>
          </w:p>
          <w:p>
            <w:pPr>
              <w:rPr>
                <w:rFonts w:hint="eastAsia" w:ascii="宋体" w:hAnsi="宋体" w:cs="宋体"/>
                <w:color w:val="000000"/>
                <w:sz w:val="24"/>
              </w:rPr>
            </w:pPr>
            <w:r>
              <w:rPr>
                <w:rFonts w:hint="eastAsia" w:ascii="宋体" w:hAnsi="宋体" w:cs="宋体"/>
                <w:color w:val="000000"/>
                <w:sz w:val="24"/>
              </w:rPr>
              <w:t>根据供应商持有双证（消毒员证、压力容器证）灭菌员数量进行评分：</w:t>
            </w:r>
          </w:p>
          <w:p>
            <w:pPr>
              <w:spacing w:line="288" w:lineRule="auto"/>
              <w:jc w:val="left"/>
              <w:rPr>
                <w:rFonts w:ascii="宋体" w:hAnsi="宋体"/>
                <w:color w:val="000000"/>
                <w:sz w:val="24"/>
              </w:rPr>
            </w:pPr>
            <w:r>
              <w:rPr>
                <w:rFonts w:hint="eastAsia" w:ascii="宋体" w:hAnsi="宋体" w:cs="宋体"/>
                <w:color w:val="000000"/>
                <w:sz w:val="24"/>
              </w:rPr>
              <w:t>1-3名得1分，4-6名得2分</w:t>
            </w:r>
            <w:r>
              <w:rPr>
                <w:rFonts w:hint="eastAsia" w:ascii="宋体" w:hAnsi="宋体" w:cs="宋体"/>
                <w:color w:val="000000"/>
                <w:sz w:val="24"/>
                <w:highlight w:val="none"/>
              </w:rPr>
              <w:t>。</w:t>
            </w:r>
            <w:r>
              <w:rPr>
                <w:rFonts w:hint="eastAsia" w:ascii="宋体" w:hAnsi="宋体" w:cs="宋体"/>
                <w:color w:val="auto"/>
                <w:sz w:val="24"/>
                <w:highlight w:val="none"/>
              </w:rPr>
              <w:t>提供灭菌员双证（消毒员证、压力容器证）复印件。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64" w:type="dxa"/>
            <w:vMerge w:val="continue"/>
            <w:noWrap w:val="0"/>
            <w:vAlign w:val="center"/>
          </w:tcPr>
          <w:p>
            <w:pPr>
              <w:spacing w:line="288" w:lineRule="auto"/>
              <w:jc w:val="left"/>
              <w:rPr>
                <w:rFonts w:ascii="宋体" w:hAnsi="宋体"/>
                <w:color w:val="000000"/>
                <w:sz w:val="24"/>
              </w:rPr>
            </w:pPr>
          </w:p>
        </w:tc>
        <w:tc>
          <w:tcPr>
            <w:tcW w:w="1295" w:type="dxa"/>
            <w:vMerge w:val="continue"/>
            <w:noWrap w:val="0"/>
            <w:vAlign w:val="center"/>
          </w:tcPr>
          <w:p>
            <w:pPr>
              <w:spacing w:line="288" w:lineRule="auto"/>
              <w:jc w:val="left"/>
              <w:rPr>
                <w:rFonts w:ascii="宋体" w:hAnsi="宋体"/>
                <w:color w:val="000000"/>
                <w:sz w:val="24"/>
              </w:rPr>
            </w:pPr>
          </w:p>
        </w:tc>
        <w:tc>
          <w:tcPr>
            <w:tcW w:w="7377" w:type="dxa"/>
            <w:noWrap w:val="0"/>
            <w:vAlign w:val="center"/>
          </w:tcPr>
          <w:p>
            <w:pPr>
              <w:spacing w:line="288" w:lineRule="auto"/>
              <w:jc w:val="left"/>
              <w:rPr>
                <w:rFonts w:ascii="宋体" w:hAnsi="宋体"/>
                <w:b/>
                <w:color w:val="000000"/>
                <w:sz w:val="24"/>
              </w:rPr>
            </w:pPr>
            <w:r>
              <w:rPr>
                <w:rFonts w:hint="eastAsia" w:ascii="宋体" w:hAnsi="宋体"/>
                <w:b/>
                <w:color w:val="000000"/>
                <w:sz w:val="24"/>
              </w:rPr>
              <w:t>突发事件应急预案（3分）</w:t>
            </w:r>
          </w:p>
          <w:p>
            <w:pPr>
              <w:spacing w:line="288" w:lineRule="auto"/>
              <w:jc w:val="left"/>
              <w:rPr>
                <w:rFonts w:ascii="宋体" w:hAnsi="宋体"/>
                <w:color w:val="000000"/>
                <w:sz w:val="24"/>
              </w:rPr>
            </w:pPr>
            <w:r>
              <w:rPr>
                <w:rFonts w:hint="eastAsia" w:ascii="宋体" w:hAnsi="宋体"/>
                <w:color w:val="000000"/>
                <w:sz w:val="24"/>
              </w:rPr>
              <w:t>投标人自行列举本项目可能各类突发事件的应急预案。评委根据投标文件的应急预案的科学合理性等打分。</w:t>
            </w:r>
          </w:p>
          <w:p>
            <w:pPr>
              <w:spacing w:line="288" w:lineRule="auto"/>
              <w:jc w:val="left"/>
              <w:rPr>
                <w:rFonts w:ascii="宋体" w:hAnsi="宋体"/>
                <w:b/>
                <w:color w:val="000000"/>
                <w:sz w:val="24"/>
              </w:rPr>
            </w:pPr>
            <w:r>
              <w:rPr>
                <w:rFonts w:hint="eastAsia" w:ascii="宋体" w:hAnsi="宋体"/>
                <w:color w:val="000000"/>
                <w:sz w:val="24"/>
              </w:rPr>
              <w:t>优秀：（2-3）分；良好（1-2</w:t>
            </w:r>
            <w:r>
              <w:rPr>
                <w:rFonts w:hint="eastAsia" w:ascii="宋体" w:hAnsi="宋体"/>
                <w:color w:val="000000"/>
                <w:sz w:val="24"/>
                <w:lang w:eastAsia="zh-CN"/>
              </w:rPr>
              <w:t>）</w:t>
            </w:r>
            <w:r>
              <w:rPr>
                <w:rFonts w:hint="eastAsia" w:ascii="宋体" w:hAnsi="宋体"/>
                <w:color w:val="000000"/>
                <w:sz w:val="24"/>
              </w:rPr>
              <w:t>分；一般（1</w:t>
            </w:r>
            <w:r>
              <w:rPr>
                <w:rFonts w:hint="eastAsia" w:ascii="宋体" w:hAnsi="宋体"/>
                <w:color w:val="000000"/>
                <w:sz w:val="24"/>
                <w:lang w:eastAsia="zh-CN"/>
              </w:rPr>
              <w:t>）</w:t>
            </w:r>
            <w:r>
              <w:rPr>
                <w:rFonts w:hint="eastAsia" w:ascii="宋体" w:hAnsi="宋体"/>
                <w:color w:val="000000"/>
                <w:sz w:val="24"/>
              </w:rPr>
              <w:t>；差 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64" w:type="dxa"/>
            <w:vMerge w:val="continue"/>
            <w:noWrap w:val="0"/>
            <w:vAlign w:val="center"/>
          </w:tcPr>
          <w:p>
            <w:pPr>
              <w:spacing w:line="288" w:lineRule="auto"/>
              <w:jc w:val="left"/>
              <w:rPr>
                <w:rFonts w:ascii="宋体" w:hAnsi="宋体"/>
                <w:color w:val="000000"/>
                <w:sz w:val="24"/>
              </w:rPr>
            </w:pPr>
          </w:p>
        </w:tc>
        <w:tc>
          <w:tcPr>
            <w:tcW w:w="1295" w:type="dxa"/>
            <w:vMerge w:val="continue"/>
            <w:noWrap w:val="0"/>
            <w:vAlign w:val="center"/>
          </w:tcPr>
          <w:p>
            <w:pPr>
              <w:spacing w:line="288" w:lineRule="auto"/>
              <w:jc w:val="left"/>
              <w:rPr>
                <w:rFonts w:ascii="宋体" w:hAnsi="宋体"/>
                <w:color w:val="000000"/>
                <w:sz w:val="24"/>
              </w:rPr>
            </w:pPr>
          </w:p>
        </w:tc>
        <w:tc>
          <w:tcPr>
            <w:tcW w:w="7377" w:type="dxa"/>
            <w:noWrap w:val="0"/>
            <w:vAlign w:val="center"/>
          </w:tcPr>
          <w:p>
            <w:pPr>
              <w:spacing w:line="288" w:lineRule="auto"/>
              <w:jc w:val="left"/>
              <w:rPr>
                <w:rFonts w:ascii="宋体" w:hAnsi="宋体"/>
                <w:b/>
                <w:color w:val="000000"/>
                <w:sz w:val="24"/>
              </w:rPr>
            </w:pPr>
            <w:r>
              <w:rPr>
                <w:rFonts w:hint="eastAsia" w:ascii="宋体" w:hAnsi="宋体"/>
                <w:b/>
                <w:color w:val="000000"/>
                <w:sz w:val="24"/>
              </w:rPr>
              <w:t>感控管理（4分）</w:t>
            </w:r>
          </w:p>
          <w:p>
            <w:pPr>
              <w:spacing w:line="288" w:lineRule="auto"/>
              <w:jc w:val="left"/>
              <w:rPr>
                <w:rFonts w:ascii="宋体" w:hAnsi="宋体"/>
                <w:color w:val="000000"/>
                <w:sz w:val="24"/>
              </w:rPr>
            </w:pPr>
            <w:r>
              <w:rPr>
                <w:rFonts w:hint="eastAsia" w:ascii="宋体" w:hAnsi="宋体"/>
                <w:color w:val="000000"/>
                <w:sz w:val="24"/>
              </w:rPr>
              <w:t>因为医院清洗消毒存在行业特殊性，评委根据投标人提供</w:t>
            </w:r>
            <w:r>
              <w:rPr>
                <w:rFonts w:hint="eastAsia" w:ascii="宋体" w:hAnsi="宋体"/>
                <w:b/>
                <w:bCs/>
                <w:color w:val="000000"/>
                <w:sz w:val="24"/>
              </w:rPr>
              <w:t>清洗消毒过程中</w:t>
            </w:r>
            <w:r>
              <w:rPr>
                <w:rFonts w:hint="eastAsia" w:ascii="宋体" w:hAnsi="宋体"/>
                <w:color w:val="000000"/>
                <w:sz w:val="24"/>
              </w:rPr>
              <w:t>感控（防止交叉感染）的相关措施及方案</w:t>
            </w:r>
            <w:r>
              <w:rPr>
                <w:rFonts w:hint="eastAsia" w:ascii="宋体" w:hAnsi="宋体"/>
                <w:b/>
                <w:bCs/>
                <w:color w:val="000000"/>
                <w:sz w:val="24"/>
              </w:rPr>
              <w:t>进行打分。</w:t>
            </w:r>
          </w:p>
          <w:p>
            <w:pPr>
              <w:spacing w:line="288" w:lineRule="auto"/>
              <w:jc w:val="left"/>
              <w:rPr>
                <w:rFonts w:ascii="宋体" w:hAnsi="宋体"/>
                <w:b/>
                <w:color w:val="000000"/>
                <w:sz w:val="24"/>
              </w:rPr>
            </w:pPr>
            <w:r>
              <w:rPr>
                <w:rFonts w:hint="eastAsia" w:ascii="宋体" w:hAnsi="宋体"/>
                <w:color w:val="000000"/>
                <w:sz w:val="24"/>
              </w:rPr>
              <w:t>优秀：（3-4</w:t>
            </w:r>
            <w:r>
              <w:rPr>
                <w:rFonts w:hint="eastAsia" w:ascii="宋体" w:hAnsi="宋体"/>
                <w:color w:val="000000"/>
                <w:sz w:val="24"/>
                <w:lang w:eastAsia="zh-CN"/>
              </w:rPr>
              <w:t>）</w:t>
            </w:r>
            <w:r>
              <w:rPr>
                <w:rFonts w:hint="eastAsia" w:ascii="宋体" w:hAnsi="宋体"/>
                <w:color w:val="000000"/>
                <w:sz w:val="24"/>
              </w:rPr>
              <w:t>分；良好（2-3</w:t>
            </w:r>
            <w:r>
              <w:rPr>
                <w:rFonts w:hint="eastAsia" w:ascii="宋体" w:hAnsi="宋体"/>
                <w:color w:val="000000"/>
                <w:sz w:val="24"/>
                <w:lang w:eastAsia="zh-CN"/>
              </w:rPr>
              <w:t>）</w:t>
            </w:r>
            <w:r>
              <w:rPr>
                <w:rFonts w:hint="eastAsia" w:ascii="宋体" w:hAnsi="宋体"/>
                <w:color w:val="000000"/>
                <w:sz w:val="24"/>
              </w:rPr>
              <w:t>分；一般（1-2</w:t>
            </w:r>
            <w:r>
              <w:rPr>
                <w:rFonts w:hint="eastAsia" w:ascii="宋体" w:hAnsi="宋体"/>
                <w:color w:val="000000"/>
                <w:sz w:val="24"/>
                <w:lang w:eastAsia="zh-CN"/>
              </w:rPr>
              <w:t>）</w:t>
            </w:r>
            <w:r>
              <w:rPr>
                <w:rFonts w:hint="eastAsia" w:ascii="宋体" w:hAnsi="宋体"/>
                <w:color w:val="000000"/>
                <w:sz w:val="24"/>
              </w:rPr>
              <w:t>；差 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64" w:type="dxa"/>
            <w:vMerge w:val="continue"/>
            <w:noWrap w:val="0"/>
            <w:vAlign w:val="center"/>
          </w:tcPr>
          <w:p>
            <w:pPr>
              <w:spacing w:line="288" w:lineRule="auto"/>
              <w:jc w:val="left"/>
              <w:rPr>
                <w:rFonts w:ascii="宋体" w:hAnsi="宋体"/>
                <w:color w:val="000000"/>
                <w:sz w:val="24"/>
              </w:rPr>
            </w:pPr>
          </w:p>
        </w:tc>
        <w:tc>
          <w:tcPr>
            <w:tcW w:w="1295" w:type="dxa"/>
            <w:vMerge w:val="continue"/>
            <w:noWrap w:val="0"/>
            <w:vAlign w:val="center"/>
          </w:tcPr>
          <w:p>
            <w:pPr>
              <w:spacing w:line="288" w:lineRule="auto"/>
              <w:jc w:val="left"/>
              <w:rPr>
                <w:rFonts w:ascii="宋体" w:hAnsi="宋体"/>
                <w:color w:val="000000"/>
                <w:sz w:val="24"/>
              </w:rPr>
            </w:pPr>
          </w:p>
        </w:tc>
        <w:tc>
          <w:tcPr>
            <w:tcW w:w="7377" w:type="dxa"/>
            <w:noWrap w:val="0"/>
            <w:vAlign w:val="center"/>
          </w:tcPr>
          <w:p>
            <w:pPr>
              <w:spacing w:line="288" w:lineRule="auto"/>
              <w:jc w:val="left"/>
              <w:rPr>
                <w:rFonts w:ascii="宋体" w:hAnsi="宋体"/>
                <w:b/>
                <w:color w:val="000000"/>
                <w:sz w:val="24"/>
              </w:rPr>
            </w:pPr>
            <w:r>
              <w:rPr>
                <w:rFonts w:hint="eastAsia" w:ascii="宋体" w:hAnsi="宋体"/>
                <w:b/>
                <w:color w:val="000000"/>
                <w:sz w:val="24"/>
              </w:rPr>
              <w:t>现场质量控制（4分）</w:t>
            </w:r>
          </w:p>
          <w:p>
            <w:pPr>
              <w:spacing w:line="288" w:lineRule="auto"/>
              <w:jc w:val="left"/>
              <w:rPr>
                <w:rFonts w:ascii="宋体" w:hAnsi="宋体"/>
                <w:color w:val="000000"/>
                <w:sz w:val="24"/>
              </w:rPr>
            </w:pPr>
            <w:r>
              <w:rPr>
                <w:rFonts w:hint="eastAsia" w:ascii="宋体" w:hAnsi="宋体"/>
                <w:color w:val="000000"/>
                <w:sz w:val="24"/>
              </w:rPr>
              <w:t>因为医院清洗消毒存在在行业特殊性，评委根据投标人提供清洗消毒现场（包括但不仅限于运输、医院转接现场）质量安全保障及控制的相关措施及方案</w:t>
            </w:r>
            <w:r>
              <w:rPr>
                <w:rFonts w:hint="eastAsia" w:ascii="宋体" w:hAnsi="宋体"/>
                <w:b/>
                <w:bCs/>
                <w:color w:val="000000"/>
                <w:sz w:val="24"/>
              </w:rPr>
              <w:t>进行打分。</w:t>
            </w:r>
          </w:p>
          <w:p>
            <w:pPr>
              <w:spacing w:line="288" w:lineRule="auto"/>
              <w:jc w:val="left"/>
              <w:rPr>
                <w:rFonts w:ascii="宋体" w:hAnsi="宋体"/>
                <w:b/>
                <w:color w:val="000000"/>
                <w:sz w:val="24"/>
              </w:rPr>
            </w:pPr>
            <w:r>
              <w:rPr>
                <w:rFonts w:hint="eastAsia" w:ascii="宋体" w:hAnsi="宋体"/>
                <w:color w:val="000000"/>
                <w:sz w:val="24"/>
              </w:rPr>
              <w:t>优秀：（3-4</w:t>
            </w:r>
            <w:r>
              <w:rPr>
                <w:rFonts w:hint="eastAsia" w:ascii="宋体" w:hAnsi="宋体"/>
                <w:color w:val="000000"/>
                <w:sz w:val="24"/>
                <w:lang w:eastAsia="zh-CN"/>
              </w:rPr>
              <w:t>）</w:t>
            </w:r>
            <w:r>
              <w:rPr>
                <w:rFonts w:hint="eastAsia" w:ascii="宋体" w:hAnsi="宋体"/>
                <w:color w:val="000000"/>
                <w:sz w:val="24"/>
              </w:rPr>
              <w:t>分；良好（2-3</w:t>
            </w:r>
            <w:r>
              <w:rPr>
                <w:rFonts w:hint="eastAsia" w:ascii="宋体" w:hAnsi="宋体"/>
                <w:color w:val="000000"/>
                <w:sz w:val="24"/>
                <w:lang w:eastAsia="zh-CN"/>
              </w:rPr>
              <w:t>）</w:t>
            </w:r>
            <w:r>
              <w:rPr>
                <w:rFonts w:hint="eastAsia" w:ascii="宋体" w:hAnsi="宋体"/>
                <w:color w:val="000000"/>
                <w:sz w:val="24"/>
              </w:rPr>
              <w:t>分；一般（1-2</w:t>
            </w:r>
            <w:r>
              <w:rPr>
                <w:rFonts w:hint="eastAsia" w:ascii="宋体" w:hAnsi="宋体"/>
                <w:color w:val="000000"/>
                <w:sz w:val="24"/>
                <w:lang w:eastAsia="zh-CN"/>
              </w:rPr>
              <w:t>）</w:t>
            </w:r>
            <w:r>
              <w:rPr>
                <w:rFonts w:hint="eastAsia" w:ascii="宋体" w:hAnsi="宋体"/>
                <w:color w:val="000000"/>
                <w:sz w:val="24"/>
              </w:rPr>
              <w:t>；差 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64" w:type="dxa"/>
            <w:vMerge w:val="continue"/>
            <w:noWrap w:val="0"/>
            <w:vAlign w:val="center"/>
          </w:tcPr>
          <w:p>
            <w:pPr>
              <w:spacing w:line="288" w:lineRule="auto"/>
              <w:jc w:val="left"/>
              <w:rPr>
                <w:rFonts w:ascii="宋体" w:hAnsi="宋体"/>
                <w:color w:val="000000"/>
                <w:sz w:val="24"/>
              </w:rPr>
            </w:pPr>
          </w:p>
        </w:tc>
        <w:tc>
          <w:tcPr>
            <w:tcW w:w="1295" w:type="dxa"/>
            <w:vMerge w:val="continue"/>
            <w:noWrap w:val="0"/>
            <w:vAlign w:val="center"/>
          </w:tcPr>
          <w:p>
            <w:pPr>
              <w:spacing w:line="288" w:lineRule="auto"/>
              <w:jc w:val="left"/>
              <w:rPr>
                <w:rFonts w:ascii="宋体" w:hAnsi="宋体"/>
                <w:color w:val="000000"/>
                <w:sz w:val="24"/>
              </w:rPr>
            </w:pPr>
          </w:p>
        </w:tc>
        <w:tc>
          <w:tcPr>
            <w:tcW w:w="7377" w:type="dxa"/>
            <w:noWrap w:val="0"/>
            <w:vAlign w:val="center"/>
          </w:tcPr>
          <w:p>
            <w:pPr>
              <w:spacing w:line="288" w:lineRule="auto"/>
              <w:jc w:val="left"/>
              <w:rPr>
                <w:rFonts w:ascii="宋体" w:hAnsi="宋体"/>
                <w:b/>
                <w:color w:val="000000"/>
                <w:sz w:val="24"/>
              </w:rPr>
            </w:pPr>
            <w:r>
              <w:rPr>
                <w:rFonts w:hint="eastAsia" w:ascii="宋体" w:hAnsi="宋体"/>
                <w:b/>
                <w:color w:val="000000"/>
                <w:sz w:val="24"/>
              </w:rPr>
              <w:t>生产质量控制（3分）</w:t>
            </w:r>
          </w:p>
          <w:p>
            <w:pPr>
              <w:spacing w:line="288" w:lineRule="auto"/>
              <w:jc w:val="left"/>
              <w:rPr>
                <w:rFonts w:ascii="宋体" w:hAnsi="宋体"/>
                <w:color w:val="000000"/>
                <w:sz w:val="24"/>
              </w:rPr>
            </w:pPr>
            <w:r>
              <w:rPr>
                <w:rFonts w:hint="eastAsia" w:ascii="宋体" w:hAnsi="宋体"/>
                <w:color w:val="000000"/>
                <w:sz w:val="24"/>
              </w:rPr>
              <w:t>投标人提供服务生产质量保障及控制的相关措施及方案进行打分。</w:t>
            </w:r>
          </w:p>
          <w:p>
            <w:pPr>
              <w:spacing w:line="288" w:lineRule="auto"/>
              <w:jc w:val="left"/>
              <w:rPr>
                <w:rFonts w:ascii="宋体" w:hAnsi="宋体"/>
                <w:b/>
                <w:color w:val="000000"/>
                <w:sz w:val="24"/>
              </w:rPr>
            </w:pPr>
            <w:r>
              <w:rPr>
                <w:rFonts w:hint="eastAsia" w:ascii="宋体" w:hAnsi="宋体"/>
                <w:color w:val="000000"/>
                <w:sz w:val="24"/>
              </w:rPr>
              <w:t>优秀：（2-3）分；良好（1-2]分；一般（1]；差 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64" w:type="dxa"/>
            <w:tcBorders>
              <w:top w:val="single" w:color="auto" w:sz="4" w:space="0"/>
              <w:left w:val="single" w:color="auto" w:sz="4" w:space="0"/>
              <w:bottom w:val="single" w:color="auto" w:sz="4" w:space="0"/>
              <w:right w:val="single" w:color="auto" w:sz="4" w:space="0"/>
            </w:tcBorders>
            <w:noWrap w:val="0"/>
            <w:vAlign w:val="center"/>
          </w:tcPr>
          <w:p>
            <w:pPr>
              <w:spacing w:line="288" w:lineRule="auto"/>
              <w:jc w:val="left"/>
              <w:rPr>
                <w:rFonts w:ascii="宋体" w:hAnsi="宋体"/>
                <w:color w:val="000000"/>
                <w:sz w:val="24"/>
              </w:rPr>
            </w:pPr>
            <w:r>
              <w:rPr>
                <w:rFonts w:ascii="宋体" w:hAnsi="宋体"/>
                <w:color w:val="000000"/>
                <w:sz w:val="24"/>
              </w:rPr>
              <w:t>3</w:t>
            </w:r>
          </w:p>
        </w:tc>
        <w:tc>
          <w:tcPr>
            <w:tcW w:w="1295" w:type="dxa"/>
            <w:tcBorders>
              <w:top w:val="single" w:color="auto" w:sz="4" w:space="0"/>
              <w:left w:val="single" w:color="auto" w:sz="4" w:space="0"/>
              <w:bottom w:val="single" w:color="auto" w:sz="4" w:space="0"/>
              <w:right w:val="single" w:color="auto" w:sz="4" w:space="0"/>
            </w:tcBorders>
            <w:noWrap w:val="0"/>
            <w:vAlign w:val="center"/>
          </w:tcPr>
          <w:p>
            <w:pPr>
              <w:spacing w:line="288" w:lineRule="auto"/>
              <w:jc w:val="center"/>
              <w:rPr>
                <w:rFonts w:ascii="宋体" w:hAnsi="宋体" w:cs="宋体"/>
                <w:b/>
                <w:bCs/>
                <w:color w:val="000000"/>
                <w:kern w:val="0"/>
                <w:sz w:val="24"/>
              </w:rPr>
            </w:pPr>
            <w:r>
              <w:rPr>
                <w:rFonts w:hint="eastAsia" w:ascii="宋体" w:hAnsi="宋体" w:cs="宋体"/>
                <w:b/>
                <w:bCs/>
                <w:color w:val="000000"/>
                <w:kern w:val="0"/>
                <w:sz w:val="24"/>
              </w:rPr>
              <w:t>业绩</w:t>
            </w:r>
          </w:p>
          <w:p>
            <w:pPr>
              <w:spacing w:line="288" w:lineRule="auto"/>
              <w:jc w:val="center"/>
              <w:rPr>
                <w:rFonts w:ascii="宋体" w:hAnsi="宋体" w:cs="宋体"/>
                <w:b/>
                <w:bCs/>
                <w:color w:val="000000"/>
                <w:kern w:val="0"/>
                <w:sz w:val="24"/>
              </w:rPr>
            </w:pPr>
            <w:r>
              <w:rPr>
                <w:rFonts w:hint="eastAsia" w:ascii="宋体" w:hAnsi="宋体" w:cs="宋体"/>
                <w:b/>
                <w:bCs/>
                <w:color w:val="000000"/>
                <w:kern w:val="0"/>
                <w:sz w:val="24"/>
              </w:rPr>
              <w:t>（10分）</w:t>
            </w:r>
          </w:p>
        </w:tc>
        <w:tc>
          <w:tcPr>
            <w:tcW w:w="7377" w:type="dxa"/>
            <w:tcBorders>
              <w:top w:val="single" w:color="auto" w:sz="4" w:space="0"/>
              <w:left w:val="single" w:color="auto" w:sz="4" w:space="0"/>
              <w:bottom w:val="single" w:color="auto" w:sz="4" w:space="0"/>
              <w:right w:val="single" w:color="auto" w:sz="4" w:space="0"/>
            </w:tcBorders>
            <w:noWrap w:val="0"/>
            <w:vAlign w:val="center"/>
          </w:tcPr>
          <w:p>
            <w:pPr>
              <w:spacing w:line="288" w:lineRule="auto"/>
              <w:jc w:val="left"/>
              <w:rPr>
                <w:rFonts w:ascii="宋体" w:hAnsi="宋体"/>
                <w:color w:val="000000"/>
                <w:sz w:val="24"/>
              </w:rPr>
            </w:pPr>
            <w:r>
              <w:rPr>
                <w:rFonts w:hint="eastAsia" w:ascii="宋体" w:hAnsi="宋体" w:cs="宋体"/>
                <w:bCs/>
                <w:color w:val="000000"/>
                <w:kern w:val="0"/>
                <w:sz w:val="24"/>
              </w:rPr>
              <w:t>投标</w:t>
            </w:r>
            <w:r>
              <w:rPr>
                <w:rFonts w:hint="eastAsia" w:ascii="宋体" w:hAnsi="宋体" w:cs="宋体"/>
                <w:bCs/>
                <w:color w:val="000000"/>
                <w:kern w:val="0"/>
                <w:sz w:val="24"/>
                <w:highlight w:val="none"/>
              </w:rPr>
              <w:t>人</w:t>
            </w:r>
            <w:r>
              <w:rPr>
                <w:rFonts w:hint="eastAsia" w:ascii="宋体" w:hAnsi="宋体" w:cs="宋体"/>
                <w:bCs/>
                <w:color w:val="auto"/>
                <w:kern w:val="0"/>
                <w:sz w:val="24"/>
                <w:highlight w:val="none"/>
                <w:lang w:val="en-US" w:eastAsia="zh-CN"/>
              </w:rPr>
              <w:t>近三年以来（2021年1月1日至今）</w:t>
            </w:r>
            <w:r>
              <w:rPr>
                <w:rFonts w:hint="eastAsia" w:ascii="宋体" w:hAnsi="宋体" w:cs="宋体"/>
                <w:bCs/>
                <w:color w:val="000000"/>
                <w:kern w:val="0"/>
                <w:sz w:val="24"/>
                <w:highlight w:val="none"/>
              </w:rPr>
              <w:t>承</w:t>
            </w:r>
            <w:r>
              <w:rPr>
                <w:rFonts w:hint="eastAsia" w:ascii="宋体" w:hAnsi="宋体" w:cs="宋体"/>
                <w:bCs/>
                <w:color w:val="000000"/>
                <w:kern w:val="0"/>
                <w:sz w:val="24"/>
              </w:rPr>
              <w:t>担过三级以上医院与本项目性质类似的服务业绩，有一份得2分，最多得10分（每份有效业绩需提供合同复印件，复印件上公章等关键信息需清晰可见，原件备查）。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64" w:type="dxa"/>
            <w:vMerge w:val="restart"/>
            <w:tcBorders>
              <w:top w:val="single" w:color="auto" w:sz="4" w:space="0"/>
              <w:left w:val="single" w:color="auto" w:sz="4" w:space="0"/>
              <w:right w:val="single" w:color="auto" w:sz="4" w:space="0"/>
            </w:tcBorders>
            <w:noWrap w:val="0"/>
            <w:vAlign w:val="center"/>
          </w:tcPr>
          <w:p>
            <w:pPr>
              <w:spacing w:line="288" w:lineRule="auto"/>
              <w:jc w:val="left"/>
              <w:rPr>
                <w:rFonts w:hint="eastAsia" w:ascii="宋体" w:hAnsi="宋体"/>
                <w:sz w:val="24"/>
              </w:rPr>
            </w:pPr>
            <w:r>
              <w:rPr>
                <w:rFonts w:hint="eastAsia" w:ascii="宋体" w:hAnsi="宋体"/>
                <w:sz w:val="24"/>
              </w:rPr>
              <w:t>4</w:t>
            </w:r>
          </w:p>
        </w:tc>
        <w:tc>
          <w:tcPr>
            <w:tcW w:w="1295" w:type="dxa"/>
            <w:vMerge w:val="restart"/>
            <w:tcBorders>
              <w:top w:val="single" w:color="auto" w:sz="4" w:space="0"/>
              <w:left w:val="single" w:color="auto" w:sz="4" w:space="0"/>
              <w:right w:val="single" w:color="auto" w:sz="4" w:space="0"/>
            </w:tcBorders>
            <w:noWrap w:val="0"/>
            <w:vAlign w:val="center"/>
          </w:tcPr>
          <w:p>
            <w:pPr>
              <w:rPr>
                <w:b/>
                <w:bCs/>
                <w:sz w:val="24"/>
              </w:rPr>
            </w:pPr>
            <w:r>
              <w:rPr>
                <w:b/>
                <w:bCs/>
                <w:sz w:val="24"/>
              </w:rPr>
              <w:t>消毒供应使用管理</w:t>
            </w:r>
            <w:r>
              <w:rPr>
                <w:rFonts w:hint="eastAsia"/>
                <w:b/>
                <w:bCs/>
                <w:sz w:val="24"/>
              </w:rPr>
              <w:t>和追溯系统</w:t>
            </w:r>
          </w:p>
          <w:p>
            <w:pPr>
              <w:spacing w:line="288" w:lineRule="auto"/>
              <w:jc w:val="center"/>
              <w:rPr>
                <w:rFonts w:hint="eastAsia" w:ascii="宋体" w:hAnsi="宋体"/>
                <w:b/>
                <w:bCs/>
                <w:sz w:val="24"/>
              </w:rPr>
            </w:pPr>
            <w:r>
              <w:rPr>
                <w:rFonts w:hint="eastAsia" w:ascii="宋体" w:hAnsi="宋体"/>
                <w:b/>
                <w:bCs/>
                <w:sz w:val="24"/>
              </w:rPr>
              <w:t>（</w:t>
            </w:r>
            <w:r>
              <w:rPr>
                <w:rFonts w:ascii="宋体" w:hAnsi="宋体"/>
                <w:b/>
                <w:bCs/>
                <w:sz w:val="24"/>
              </w:rPr>
              <w:t>20</w:t>
            </w:r>
            <w:r>
              <w:rPr>
                <w:rFonts w:hint="eastAsia" w:ascii="宋体" w:hAnsi="宋体"/>
                <w:b/>
                <w:bCs/>
                <w:sz w:val="24"/>
              </w:rPr>
              <w:t>分）</w:t>
            </w:r>
          </w:p>
          <w:p>
            <w:pPr>
              <w:spacing w:line="288" w:lineRule="auto"/>
              <w:jc w:val="center"/>
              <w:rPr>
                <w:rFonts w:ascii="宋体" w:hAnsi="宋体"/>
                <w:sz w:val="24"/>
              </w:rPr>
            </w:pPr>
          </w:p>
        </w:tc>
        <w:tc>
          <w:tcPr>
            <w:tcW w:w="7377" w:type="dxa"/>
            <w:tcBorders>
              <w:top w:val="single" w:color="auto" w:sz="4" w:space="0"/>
              <w:left w:val="single" w:color="auto" w:sz="4" w:space="0"/>
              <w:bottom w:val="single" w:color="auto" w:sz="4" w:space="0"/>
              <w:right w:val="single" w:color="auto" w:sz="4" w:space="0"/>
            </w:tcBorders>
            <w:noWrap w:val="0"/>
            <w:vAlign w:val="center"/>
          </w:tcPr>
          <w:p>
            <w:pPr>
              <w:rPr>
                <w:color w:val="auto"/>
                <w:sz w:val="24"/>
              </w:rPr>
            </w:pPr>
            <w:r>
              <w:rPr>
                <w:rFonts w:hint="eastAsia"/>
                <w:color w:val="auto"/>
                <w:sz w:val="24"/>
              </w:rPr>
              <w:t>可以针对供应室内日常工作情况，将器械的回收、清洗、配包、灭菌、审核、入库、发放等环节，进行数据采集及流程管控。</w:t>
            </w:r>
          </w:p>
          <w:p>
            <w:pPr>
              <w:rPr>
                <w:color w:val="auto"/>
                <w:sz w:val="24"/>
              </w:rPr>
            </w:pPr>
            <w:r>
              <w:rPr>
                <w:rFonts w:hint="eastAsia"/>
                <w:color w:val="auto"/>
                <w:sz w:val="24"/>
              </w:rPr>
              <w:t>从而做到</w:t>
            </w:r>
          </w:p>
          <w:p>
            <w:pPr>
              <w:rPr>
                <w:rFonts w:hint="eastAsia"/>
                <w:b/>
                <w:bCs/>
                <w:color w:val="auto"/>
                <w:sz w:val="24"/>
              </w:rPr>
            </w:pPr>
            <w:r>
              <w:rPr>
                <w:rFonts w:hint="eastAsia"/>
                <w:b/>
                <w:bCs/>
                <w:color w:val="auto"/>
                <w:sz w:val="24"/>
              </w:rPr>
              <w:t>1、完整的全流程生命周期追溯管控；</w:t>
            </w:r>
          </w:p>
          <w:p>
            <w:pPr>
              <w:rPr>
                <w:rFonts w:hint="eastAsia"/>
                <w:b/>
                <w:bCs/>
                <w:color w:val="auto"/>
                <w:sz w:val="24"/>
              </w:rPr>
            </w:pPr>
            <w:r>
              <w:rPr>
                <w:rFonts w:hint="eastAsia"/>
                <w:b/>
                <w:bCs/>
                <w:color w:val="auto"/>
                <w:sz w:val="24"/>
              </w:rPr>
              <w:t>2、完善的数据报表系统；</w:t>
            </w:r>
          </w:p>
          <w:p>
            <w:pPr>
              <w:rPr>
                <w:rFonts w:hint="eastAsia"/>
                <w:b/>
                <w:bCs/>
                <w:color w:val="auto"/>
                <w:sz w:val="24"/>
              </w:rPr>
            </w:pPr>
            <w:r>
              <w:rPr>
                <w:rFonts w:hint="eastAsia"/>
                <w:b/>
                <w:bCs/>
                <w:color w:val="auto"/>
                <w:sz w:val="24"/>
              </w:rPr>
              <w:t>3、具备科室二级库房出入库管理、库存查询以及效期管理功能；</w:t>
            </w:r>
          </w:p>
          <w:p>
            <w:pPr>
              <w:rPr>
                <w:rFonts w:hint="eastAsia"/>
                <w:b/>
                <w:bCs/>
                <w:color w:val="auto"/>
                <w:sz w:val="24"/>
              </w:rPr>
            </w:pPr>
            <w:r>
              <w:rPr>
                <w:rFonts w:hint="eastAsia"/>
                <w:b/>
                <w:bCs/>
                <w:color w:val="auto"/>
                <w:sz w:val="24"/>
              </w:rPr>
              <w:t>4、支持用户（各科室）在线查询自己器械包状态、独立结算；</w:t>
            </w:r>
          </w:p>
          <w:p>
            <w:pPr>
              <w:rPr>
                <w:rFonts w:hint="eastAsia"/>
                <w:b/>
                <w:bCs/>
                <w:color w:val="auto"/>
                <w:sz w:val="24"/>
              </w:rPr>
            </w:pPr>
            <w:r>
              <w:rPr>
                <w:rFonts w:hint="eastAsia"/>
                <w:b/>
                <w:bCs/>
                <w:color w:val="auto"/>
                <w:sz w:val="24"/>
              </w:rPr>
              <w:t>5、通过平台信息系统，实现卫生监管的数字化信息化；</w:t>
            </w:r>
          </w:p>
          <w:p>
            <w:pPr>
              <w:spacing w:line="288" w:lineRule="auto"/>
              <w:jc w:val="left"/>
              <w:rPr>
                <w:rFonts w:ascii="宋体" w:hAnsi="宋体"/>
                <w:color w:val="auto"/>
                <w:sz w:val="24"/>
              </w:rPr>
            </w:pPr>
            <w:r>
              <w:rPr>
                <w:rFonts w:hint="eastAsia" w:ascii="宋体" w:hAnsi="宋体"/>
                <w:b/>
                <w:bCs/>
                <w:color w:val="auto"/>
                <w:sz w:val="24"/>
              </w:rPr>
              <w:t>提供投标人所使用的信息化追溯系统软件名称，并提供上述</w:t>
            </w:r>
            <w:r>
              <w:rPr>
                <w:rFonts w:ascii="宋体" w:hAnsi="宋体"/>
                <w:b/>
                <w:bCs/>
                <w:color w:val="auto"/>
                <w:sz w:val="24"/>
              </w:rPr>
              <w:t>5</w:t>
            </w:r>
            <w:r>
              <w:rPr>
                <w:rFonts w:hint="eastAsia" w:ascii="宋体" w:hAnsi="宋体"/>
                <w:b/>
                <w:bCs/>
                <w:color w:val="auto"/>
                <w:sz w:val="24"/>
              </w:rPr>
              <w:t>点相应功能描述。</w:t>
            </w:r>
            <w:r>
              <w:rPr>
                <w:rFonts w:hint="eastAsia" w:ascii="宋体" w:hAnsi="宋体"/>
                <w:color w:val="auto"/>
                <w:sz w:val="24"/>
              </w:rPr>
              <w:t>每项功能得</w:t>
            </w:r>
            <w:r>
              <w:rPr>
                <w:rFonts w:hint="eastAsia" w:ascii="宋体" w:hAnsi="宋体"/>
                <w:color w:val="auto"/>
                <w:sz w:val="24"/>
                <w:lang w:val="en-US" w:eastAsia="zh-CN"/>
              </w:rPr>
              <w:t>3</w:t>
            </w:r>
            <w:r>
              <w:rPr>
                <w:rFonts w:hint="eastAsia" w:ascii="宋体" w:hAnsi="宋体"/>
                <w:color w:val="auto"/>
                <w:sz w:val="24"/>
              </w:rPr>
              <w:t>分，最多得</w:t>
            </w:r>
            <w:r>
              <w:rPr>
                <w:rFonts w:hint="eastAsia" w:ascii="宋体" w:hAnsi="宋体"/>
                <w:color w:val="auto"/>
                <w:sz w:val="24"/>
                <w:lang w:val="en-US" w:eastAsia="zh-CN"/>
              </w:rPr>
              <w:t>15</w:t>
            </w:r>
            <w:r>
              <w:rPr>
                <w:rFonts w:hint="eastAsia" w:ascii="宋体" w:hAnsi="宋体"/>
                <w:color w:val="auto"/>
                <w:sz w:val="24"/>
              </w:rPr>
              <w:t>分。</w:t>
            </w:r>
          </w:p>
          <w:p>
            <w:pPr>
              <w:spacing w:line="288" w:lineRule="auto"/>
              <w:jc w:val="left"/>
              <w:rPr>
                <w:rFonts w:ascii="宋体" w:hAnsi="宋体"/>
                <w:color w:val="auto"/>
                <w:sz w:val="24"/>
              </w:rPr>
            </w:pPr>
            <w:r>
              <w:rPr>
                <w:rFonts w:hint="eastAsia" w:ascii="宋体" w:hAnsi="宋体"/>
                <w:color w:val="auto"/>
                <w:sz w:val="24"/>
                <w:lang w:val="en-US" w:eastAsia="zh-CN"/>
              </w:rPr>
              <w:t>没有提供</w:t>
            </w:r>
            <w:r>
              <w:rPr>
                <w:rFonts w:hint="eastAsia" w:ascii="宋体" w:hAnsi="宋体"/>
                <w:color w:val="auto"/>
                <w:sz w:val="24"/>
              </w:rPr>
              <w:t>，不得分。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64" w:type="dxa"/>
            <w:vMerge w:val="continue"/>
            <w:tcBorders>
              <w:left w:val="single" w:color="auto" w:sz="4" w:space="0"/>
              <w:bottom w:val="single" w:color="auto" w:sz="4" w:space="0"/>
              <w:right w:val="single" w:color="auto" w:sz="4" w:space="0"/>
            </w:tcBorders>
            <w:noWrap w:val="0"/>
            <w:vAlign w:val="center"/>
          </w:tcPr>
          <w:p>
            <w:pPr>
              <w:spacing w:line="288" w:lineRule="auto"/>
              <w:jc w:val="left"/>
              <w:rPr>
                <w:rFonts w:ascii="宋体" w:hAnsi="宋体"/>
                <w:sz w:val="24"/>
              </w:rPr>
            </w:pPr>
          </w:p>
        </w:tc>
        <w:tc>
          <w:tcPr>
            <w:tcW w:w="1295" w:type="dxa"/>
            <w:vMerge w:val="continue"/>
            <w:tcBorders>
              <w:left w:val="single" w:color="auto" w:sz="4" w:space="0"/>
              <w:bottom w:val="single" w:color="auto" w:sz="4" w:space="0"/>
              <w:right w:val="single" w:color="auto" w:sz="4" w:space="0"/>
            </w:tcBorders>
            <w:noWrap w:val="0"/>
            <w:vAlign w:val="center"/>
          </w:tcPr>
          <w:p/>
        </w:tc>
        <w:tc>
          <w:tcPr>
            <w:tcW w:w="7377" w:type="dxa"/>
            <w:tcBorders>
              <w:top w:val="single" w:color="auto" w:sz="4" w:space="0"/>
              <w:left w:val="single" w:color="auto" w:sz="4" w:space="0"/>
              <w:bottom w:val="single" w:color="auto" w:sz="4" w:space="0"/>
              <w:right w:val="single" w:color="auto" w:sz="4" w:space="0"/>
            </w:tcBorders>
            <w:noWrap w:val="0"/>
            <w:vAlign w:val="center"/>
          </w:tcPr>
          <w:p>
            <w:pPr>
              <w:rPr>
                <w:color w:val="auto"/>
              </w:rPr>
            </w:pPr>
            <w:r>
              <w:rPr>
                <w:rFonts w:hint="eastAsia"/>
                <w:color w:val="auto"/>
              </w:rPr>
              <w:t>投标人具备</w:t>
            </w:r>
            <w:r>
              <w:rPr>
                <w:color w:val="auto"/>
                <w:sz w:val="24"/>
              </w:rPr>
              <w:t>消毒供应使用管理</w:t>
            </w:r>
            <w:r>
              <w:rPr>
                <w:rFonts w:hint="eastAsia"/>
                <w:color w:val="auto"/>
                <w:sz w:val="24"/>
              </w:rPr>
              <w:t>和追溯系统软件著作权证，或具备软件研发企业使用授权书书的，得</w:t>
            </w:r>
            <w:r>
              <w:rPr>
                <w:rFonts w:hint="eastAsia"/>
                <w:color w:val="auto"/>
                <w:sz w:val="24"/>
                <w:lang w:val="en-US" w:eastAsia="zh-CN"/>
              </w:rPr>
              <w:t>5</w:t>
            </w:r>
            <w:r>
              <w:rPr>
                <w:rFonts w:hint="eastAsia"/>
                <w:color w:val="auto"/>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64" w:type="dxa"/>
            <w:tcBorders>
              <w:left w:val="single" w:color="auto" w:sz="4" w:space="0"/>
              <w:bottom w:val="single" w:color="auto" w:sz="4" w:space="0"/>
              <w:right w:val="single" w:color="auto" w:sz="4" w:space="0"/>
            </w:tcBorders>
            <w:noWrap w:val="0"/>
            <w:vAlign w:val="center"/>
          </w:tcPr>
          <w:p>
            <w:pPr>
              <w:spacing w:line="288" w:lineRule="auto"/>
              <w:jc w:val="left"/>
              <w:rPr>
                <w:rFonts w:ascii="宋体" w:hAnsi="宋体"/>
                <w:color w:val="FF0000"/>
                <w:sz w:val="24"/>
              </w:rPr>
            </w:pPr>
            <w:r>
              <w:rPr>
                <w:rFonts w:hint="eastAsia" w:ascii="宋体" w:hAnsi="宋体"/>
                <w:sz w:val="24"/>
              </w:rPr>
              <w:t>5</w:t>
            </w:r>
          </w:p>
        </w:tc>
        <w:tc>
          <w:tcPr>
            <w:tcW w:w="1295" w:type="dxa"/>
            <w:tcBorders>
              <w:left w:val="single" w:color="auto" w:sz="4" w:space="0"/>
              <w:bottom w:val="single" w:color="auto" w:sz="4" w:space="0"/>
              <w:right w:val="single" w:color="auto" w:sz="4" w:space="0"/>
            </w:tcBorders>
            <w:noWrap w:val="0"/>
            <w:vAlign w:val="center"/>
          </w:tcPr>
          <w:p>
            <w:pPr>
              <w:rPr>
                <w:color w:val="000000"/>
              </w:rPr>
            </w:pPr>
            <w:r>
              <w:rPr>
                <w:rFonts w:hint="eastAsia" w:ascii="宋体" w:hAnsi="宋体" w:cs="宋体"/>
                <w:b/>
                <w:bCs/>
                <w:color w:val="000000"/>
                <w:kern w:val="0"/>
                <w:sz w:val="24"/>
              </w:rPr>
              <w:t>体系情况（12分）</w:t>
            </w:r>
          </w:p>
        </w:tc>
        <w:tc>
          <w:tcPr>
            <w:tcW w:w="7377" w:type="dxa"/>
            <w:tcBorders>
              <w:top w:val="single" w:color="auto" w:sz="4" w:space="0"/>
              <w:left w:val="single" w:color="auto" w:sz="4" w:space="0"/>
              <w:bottom w:val="single" w:color="auto" w:sz="4" w:space="0"/>
              <w:right w:val="single" w:color="auto" w:sz="4" w:space="0"/>
            </w:tcBorders>
            <w:noWrap w:val="0"/>
            <w:vAlign w:val="center"/>
          </w:tcPr>
          <w:p>
            <w:pPr>
              <w:rPr>
                <w:color w:val="000000"/>
              </w:rPr>
            </w:pPr>
            <w:r>
              <w:rPr>
                <w:rFonts w:hint="eastAsia"/>
                <w:color w:val="000000"/>
                <w:sz w:val="24"/>
              </w:rPr>
              <w:t>投标人具备ISO9001质量管理体系证书、ISO13485管理体系证书、ISO14001环境管理体系证书、ISO45001职业健康管理体系证书，每提供一个证书得3分，最多得12分。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64" w:type="dxa"/>
            <w:tcBorders>
              <w:left w:val="single" w:color="auto" w:sz="4" w:space="0"/>
              <w:bottom w:val="single" w:color="auto" w:sz="4" w:space="0"/>
              <w:right w:val="single" w:color="auto" w:sz="4" w:space="0"/>
            </w:tcBorders>
            <w:noWrap w:val="0"/>
            <w:vAlign w:val="center"/>
          </w:tcPr>
          <w:p>
            <w:pPr>
              <w:spacing w:line="288" w:lineRule="auto"/>
              <w:jc w:val="left"/>
              <w:rPr>
                <w:rFonts w:ascii="宋体" w:hAnsi="宋体"/>
                <w:sz w:val="24"/>
              </w:rPr>
            </w:pPr>
            <w:r>
              <w:rPr>
                <w:rFonts w:hint="eastAsia" w:ascii="宋体" w:hAnsi="宋体"/>
                <w:sz w:val="24"/>
              </w:rPr>
              <w:t>6</w:t>
            </w:r>
          </w:p>
        </w:tc>
        <w:tc>
          <w:tcPr>
            <w:tcW w:w="1295" w:type="dxa"/>
            <w:tcBorders>
              <w:left w:val="single" w:color="auto" w:sz="4" w:space="0"/>
              <w:bottom w:val="single" w:color="auto" w:sz="4" w:space="0"/>
              <w:right w:val="single" w:color="auto" w:sz="4" w:space="0"/>
            </w:tcBorders>
            <w:noWrap w:val="0"/>
            <w:vAlign w:val="center"/>
          </w:tcPr>
          <w:p>
            <w:pPr>
              <w:rPr>
                <w:rFonts w:ascii="宋体" w:hAnsi="宋体" w:cs="宋体"/>
                <w:b/>
                <w:bCs/>
                <w:color w:val="000000"/>
                <w:kern w:val="0"/>
                <w:sz w:val="24"/>
              </w:rPr>
            </w:pPr>
            <w:r>
              <w:rPr>
                <w:rFonts w:hint="eastAsia" w:ascii="宋体" w:hAnsi="宋体" w:cs="宋体"/>
                <w:b/>
                <w:bCs/>
                <w:color w:val="000000"/>
                <w:kern w:val="0"/>
                <w:sz w:val="24"/>
              </w:rPr>
              <w:t>应急保障点（2分）</w:t>
            </w:r>
          </w:p>
        </w:tc>
        <w:tc>
          <w:tcPr>
            <w:tcW w:w="7377" w:type="dxa"/>
            <w:tcBorders>
              <w:top w:val="single" w:color="auto" w:sz="4" w:space="0"/>
              <w:left w:val="single" w:color="auto" w:sz="4" w:space="0"/>
              <w:bottom w:val="single" w:color="auto" w:sz="4" w:space="0"/>
              <w:right w:val="single" w:color="auto" w:sz="4" w:space="0"/>
            </w:tcBorders>
            <w:noWrap w:val="0"/>
            <w:vAlign w:val="center"/>
          </w:tcPr>
          <w:p>
            <w:pPr>
              <w:rPr>
                <w:color w:val="000000"/>
                <w:sz w:val="24"/>
              </w:rPr>
            </w:pPr>
            <w:r>
              <w:rPr>
                <w:rFonts w:hint="eastAsia"/>
                <w:color w:val="000000"/>
                <w:sz w:val="24"/>
              </w:rPr>
              <w:t>为了保障本项目服务，投标人需提供应急服务保障点。每提供一个应急保障点得1分，最多得2分。应急保障点必须具备完成本项目服务能力，投标人需提供应急保障点合同，应急保障点联系人与联系方式。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64" w:type="dxa"/>
            <w:tcBorders>
              <w:top w:val="single" w:color="auto" w:sz="4" w:space="0"/>
              <w:left w:val="single" w:color="auto" w:sz="4" w:space="0"/>
              <w:bottom w:val="single" w:color="auto" w:sz="4" w:space="0"/>
              <w:right w:val="single" w:color="auto" w:sz="4" w:space="0"/>
            </w:tcBorders>
            <w:noWrap w:val="0"/>
            <w:vAlign w:val="center"/>
          </w:tcPr>
          <w:p>
            <w:pPr>
              <w:spacing w:line="288" w:lineRule="auto"/>
              <w:jc w:val="left"/>
              <w:rPr>
                <w:rFonts w:hint="eastAsia" w:ascii="宋体" w:hAnsi="宋体"/>
                <w:color w:val="FF0000"/>
                <w:sz w:val="24"/>
              </w:rPr>
            </w:pPr>
            <w:r>
              <w:rPr>
                <w:rFonts w:hint="eastAsia" w:ascii="宋体" w:hAnsi="宋体"/>
                <w:sz w:val="24"/>
              </w:rPr>
              <w:t>7</w:t>
            </w:r>
          </w:p>
        </w:tc>
        <w:tc>
          <w:tcPr>
            <w:tcW w:w="1295" w:type="dxa"/>
            <w:tcBorders>
              <w:top w:val="single" w:color="auto" w:sz="4" w:space="0"/>
              <w:left w:val="single" w:color="auto" w:sz="4" w:space="0"/>
              <w:bottom w:val="single" w:color="auto" w:sz="4" w:space="0"/>
              <w:right w:val="single" w:color="auto" w:sz="4" w:space="0"/>
            </w:tcBorders>
            <w:noWrap w:val="0"/>
            <w:vAlign w:val="center"/>
          </w:tcPr>
          <w:p>
            <w:pPr>
              <w:spacing w:line="288" w:lineRule="auto"/>
              <w:jc w:val="left"/>
              <w:rPr>
                <w:rFonts w:hint="eastAsia" w:ascii="宋体" w:hAnsi="宋体" w:cs="宋体" w:eastAsiaTheme="minorEastAsia"/>
                <w:b/>
                <w:bCs/>
                <w:color w:val="000000"/>
                <w:kern w:val="0"/>
                <w:sz w:val="24"/>
                <w:lang w:val="en-US" w:eastAsia="zh-CN"/>
              </w:rPr>
            </w:pPr>
            <w:r>
              <w:rPr>
                <w:rFonts w:hint="eastAsia" w:ascii="宋体" w:hAnsi="宋体" w:cs="宋体"/>
                <w:b/>
                <w:bCs/>
                <w:color w:val="000000"/>
                <w:kern w:val="0"/>
                <w:sz w:val="24"/>
              </w:rPr>
              <w:t>企业</w:t>
            </w:r>
            <w:r>
              <w:rPr>
                <w:rFonts w:hint="eastAsia" w:ascii="宋体" w:hAnsi="宋体" w:cs="宋体"/>
                <w:b/>
                <w:bCs/>
                <w:color w:val="000000"/>
                <w:kern w:val="0"/>
                <w:sz w:val="24"/>
                <w:lang w:val="en-US" w:eastAsia="zh-CN"/>
              </w:rPr>
              <w:t>实力</w:t>
            </w:r>
          </w:p>
          <w:p>
            <w:pPr>
              <w:spacing w:line="288" w:lineRule="auto"/>
              <w:jc w:val="left"/>
              <w:rPr>
                <w:rFonts w:ascii="宋体" w:hAnsi="宋体" w:cs="宋体"/>
                <w:b/>
                <w:bCs/>
                <w:color w:val="000000"/>
                <w:kern w:val="0"/>
                <w:sz w:val="24"/>
              </w:rPr>
            </w:pPr>
            <w:r>
              <w:rPr>
                <w:rFonts w:hint="eastAsia" w:ascii="宋体" w:hAnsi="宋体" w:cs="宋体"/>
                <w:b/>
                <w:bCs/>
                <w:color w:val="000000"/>
                <w:kern w:val="0"/>
                <w:sz w:val="24"/>
              </w:rPr>
              <w:t>（2分）</w:t>
            </w:r>
          </w:p>
        </w:tc>
        <w:tc>
          <w:tcPr>
            <w:tcW w:w="7377" w:type="dxa"/>
            <w:tcBorders>
              <w:top w:val="single" w:color="auto" w:sz="4" w:space="0"/>
              <w:left w:val="single" w:color="auto" w:sz="4" w:space="0"/>
              <w:bottom w:val="single" w:color="auto" w:sz="4" w:space="0"/>
              <w:right w:val="single" w:color="auto" w:sz="4" w:space="0"/>
            </w:tcBorders>
            <w:noWrap w:val="0"/>
            <w:vAlign w:val="center"/>
          </w:tcPr>
          <w:p>
            <w:pPr>
              <w:spacing w:line="288" w:lineRule="auto"/>
              <w:rPr>
                <w:rFonts w:ascii="宋体" w:hAnsi="宋体" w:cs="宋体"/>
                <w:b/>
                <w:bCs/>
                <w:color w:val="FF0000"/>
                <w:kern w:val="0"/>
                <w:sz w:val="24"/>
              </w:rPr>
            </w:pPr>
            <w:r>
              <w:rPr>
                <w:rFonts w:hint="eastAsia" w:ascii="宋体" w:hAnsi="宋体" w:cs="宋体"/>
                <w:b/>
                <w:bCs/>
                <w:color w:val="auto"/>
                <w:kern w:val="0"/>
                <w:sz w:val="24"/>
                <w:highlight w:val="none"/>
              </w:rPr>
              <w:t>投标人</w:t>
            </w:r>
            <w:r>
              <w:rPr>
                <w:rFonts w:hint="eastAsia" w:ascii="宋体" w:hAnsi="宋体" w:cs="宋体"/>
                <w:b/>
                <w:bCs/>
                <w:color w:val="auto"/>
                <w:kern w:val="0"/>
                <w:sz w:val="24"/>
                <w:highlight w:val="none"/>
                <w:lang w:val="en-US" w:eastAsia="zh-CN"/>
              </w:rPr>
              <w:t>获得</w:t>
            </w:r>
            <w:r>
              <w:rPr>
                <w:rFonts w:hint="eastAsia" w:ascii="宋体" w:hAnsi="宋体" w:cs="宋体"/>
                <w:b/>
                <w:bCs/>
                <w:color w:val="auto"/>
                <w:kern w:val="0"/>
                <w:sz w:val="24"/>
                <w:highlight w:val="none"/>
              </w:rPr>
              <w:t>国家高新技术企业、专精特新企业、领军企业</w:t>
            </w:r>
            <w:r>
              <w:rPr>
                <w:rFonts w:hint="eastAsia" w:ascii="宋体" w:hAnsi="宋体" w:cs="宋体"/>
                <w:b/>
                <w:bCs/>
                <w:color w:val="auto"/>
                <w:kern w:val="0"/>
                <w:sz w:val="24"/>
                <w:highlight w:val="none"/>
                <w:lang w:val="en-US" w:eastAsia="zh-CN"/>
              </w:rPr>
              <w:t>证书，</w:t>
            </w:r>
            <w:r>
              <w:rPr>
                <w:rFonts w:hint="eastAsia" w:ascii="宋体" w:hAnsi="宋体" w:cs="宋体"/>
                <w:b/>
                <w:bCs/>
                <w:color w:val="auto"/>
                <w:kern w:val="0"/>
                <w:sz w:val="24"/>
                <w:highlight w:val="none"/>
              </w:rPr>
              <w:t>每1项加1分，最多得2分。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64" w:type="dxa"/>
            <w:tcBorders>
              <w:top w:val="single" w:color="auto" w:sz="4" w:space="0"/>
              <w:left w:val="single" w:color="auto" w:sz="4" w:space="0"/>
              <w:bottom w:val="single" w:color="auto" w:sz="4" w:space="0"/>
              <w:right w:val="single" w:color="auto" w:sz="4" w:space="0"/>
            </w:tcBorders>
            <w:noWrap w:val="0"/>
            <w:vAlign w:val="center"/>
          </w:tcPr>
          <w:p>
            <w:pPr>
              <w:spacing w:line="288" w:lineRule="auto"/>
              <w:jc w:val="left"/>
              <w:rPr>
                <w:rFonts w:hint="eastAsia" w:ascii="宋体" w:hAnsi="宋体"/>
                <w:sz w:val="24"/>
              </w:rPr>
            </w:pPr>
            <w:r>
              <w:rPr>
                <w:rFonts w:hint="eastAsia" w:ascii="宋体" w:hAnsi="宋体"/>
                <w:sz w:val="24"/>
              </w:rPr>
              <w:t>8</w:t>
            </w:r>
          </w:p>
        </w:tc>
        <w:tc>
          <w:tcPr>
            <w:tcW w:w="1295" w:type="dxa"/>
            <w:tcBorders>
              <w:top w:val="single" w:color="auto" w:sz="4" w:space="0"/>
              <w:left w:val="single" w:color="auto" w:sz="4" w:space="0"/>
              <w:bottom w:val="single" w:color="auto" w:sz="4" w:space="0"/>
              <w:right w:val="single" w:color="auto" w:sz="4" w:space="0"/>
            </w:tcBorders>
            <w:noWrap w:val="0"/>
            <w:vAlign w:val="center"/>
          </w:tcPr>
          <w:p>
            <w:pPr>
              <w:spacing w:line="288" w:lineRule="auto"/>
              <w:jc w:val="left"/>
              <w:rPr>
                <w:rFonts w:hint="eastAsia" w:ascii="宋体" w:hAnsi="宋体" w:cs="宋体"/>
                <w:b/>
                <w:bCs/>
                <w:color w:val="auto"/>
                <w:kern w:val="0"/>
                <w:sz w:val="24"/>
              </w:rPr>
            </w:pPr>
            <w:r>
              <w:rPr>
                <w:rFonts w:hint="eastAsia" w:ascii="宋体" w:hAnsi="宋体" w:cs="宋体"/>
                <w:b/>
                <w:bCs/>
                <w:color w:val="auto"/>
                <w:kern w:val="0"/>
                <w:sz w:val="24"/>
              </w:rPr>
              <w:t>采购需求响应程度（6分）</w:t>
            </w:r>
          </w:p>
        </w:tc>
        <w:tc>
          <w:tcPr>
            <w:tcW w:w="7377" w:type="dxa"/>
            <w:tcBorders>
              <w:top w:val="single" w:color="auto" w:sz="4" w:space="0"/>
              <w:left w:val="single" w:color="auto" w:sz="4" w:space="0"/>
              <w:bottom w:val="single" w:color="auto" w:sz="4" w:space="0"/>
              <w:right w:val="single" w:color="auto" w:sz="4" w:space="0"/>
            </w:tcBorders>
            <w:noWrap w:val="0"/>
            <w:vAlign w:val="center"/>
          </w:tcPr>
          <w:p>
            <w:pPr>
              <w:spacing w:line="288" w:lineRule="auto"/>
              <w:rPr>
                <w:rFonts w:hint="eastAsia" w:ascii="宋体" w:hAnsi="宋体" w:cs="宋体"/>
                <w:bCs/>
                <w:color w:val="auto"/>
                <w:kern w:val="0"/>
                <w:sz w:val="24"/>
              </w:rPr>
            </w:pPr>
            <w:r>
              <w:rPr>
                <w:rFonts w:hint="eastAsia" w:ascii="宋体"/>
                <w:color w:val="auto"/>
                <w:sz w:val="24"/>
              </w:rPr>
              <w:t>满足招标文件第四章 招标范围及技术服务、商务全部要求，并逐条做出响应的得6分，正偏离不加分，有一项★号指标</w:t>
            </w:r>
            <w:r>
              <w:rPr>
                <w:rFonts w:ascii="宋体"/>
                <w:color w:val="auto"/>
                <w:sz w:val="24"/>
              </w:rPr>
              <w:t>负偏离做废标处理。</w:t>
            </w:r>
            <w:r>
              <w:rPr>
                <w:rFonts w:hint="eastAsia" w:ascii="宋体"/>
                <w:color w:val="auto"/>
                <w:sz w:val="24"/>
              </w:rPr>
              <w:t>非★号指标每负偏离一项扣1分，扣完为止.</w:t>
            </w:r>
          </w:p>
        </w:tc>
      </w:tr>
    </w:tbl>
    <w:p>
      <w:pPr>
        <w:rPr>
          <w:rFonts w:ascii="宋体"/>
          <w:sz w:val="24"/>
        </w:rPr>
      </w:pPr>
    </w:p>
    <w:p>
      <w:pPr>
        <w:pStyle w:val="4"/>
        <w:spacing w:before="0" w:after="0" w:line="240" w:lineRule="auto"/>
        <w:rPr>
          <w:rFonts w:hint="eastAsia" w:ascii="宋体" w:hAnsi="宋体"/>
          <w:sz w:val="24"/>
          <w:szCs w:val="24"/>
        </w:rPr>
      </w:pPr>
      <w:r>
        <w:rPr>
          <w:rFonts w:hint="eastAsia" w:ascii="宋体" w:hAnsi="宋体"/>
          <w:sz w:val="24"/>
          <w:szCs w:val="24"/>
        </w:rPr>
        <w:t>增加：</w:t>
      </w:r>
    </w:p>
    <w:p>
      <w:pPr>
        <w:ind w:left="599" w:leftChars="171" w:right="15" w:rightChars="7" w:hanging="240" w:hangingChars="100"/>
        <w:rPr>
          <w:rFonts w:ascii="宋体" w:hAnsi="宋体"/>
          <w:sz w:val="24"/>
        </w:rPr>
      </w:pPr>
      <w:r>
        <w:rPr>
          <w:rFonts w:ascii="宋体" w:hAnsi="宋体"/>
          <w:sz w:val="24"/>
        </w:rPr>
        <w:t>1.根据《政府采购促进中小企业发展暂行办法》（财库[</w:t>
      </w:r>
      <w:r>
        <w:rPr>
          <w:rFonts w:hint="eastAsia" w:ascii="宋体" w:hAnsi="宋体"/>
          <w:sz w:val="24"/>
        </w:rPr>
        <w:t>2020</w:t>
      </w:r>
      <w:r>
        <w:rPr>
          <w:rFonts w:ascii="宋体" w:hAnsi="宋体"/>
          <w:sz w:val="24"/>
        </w:rPr>
        <w:t>]</w:t>
      </w:r>
      <w:r>
        <w:rPr>
          <w:rFonts w:hint="eastAsia" w:ascii="宋体" w:hAnsi="宋体"/>
          <w:sz w:val="24"/>
        </w:rPr>
        <w:t>46</w:t>
      </w:r>
      <w:r>
        <w:rPr>
          <w:rFonts w:ascii="宋体" w:hAnsi="宋体"/>
          <w:sz w:val="24"/>
        </w:rPr>
        <w:t>号）的规定，对满足价格扣除条件且在响应文件中提交了《</w:t>
      </w:r>
      <w:r>
        <w:rPr>
          <w:rFonts w:hint="eastAsia" w:ascii="宋体" w:hAnsi="宋体"/>
          <w:sz w:val="24"/>
        </w:rPr>
        <w:t>中小企业声明函</w:t>
      </w:r>
      <w:r>
        <w:rPr>
          <w:rFonts w:ascii="宋体" w:hAnsi="宋体"/>
          <w:sz w:val="24"/>
        </w:rPr>
        <w:t>》，并满足以下要求的投标人，其投标报价扣除相应折扣后</w:t>
      </w:r>
      <w:r>
        <w:rPr>
          <w:rFonts w:hint="eastAsia" w:ascii="宋体" w:hAnsi="宋体"/>
          <w:sz w:val="24"/>
        </w:rPr>
        <w:t>（货物服务为1</w:t>
      </w:r>
      <w:r>
        <w:rPr>
          <w:rFonts w:ascii="宋体" w:hAnsi="宋体"/>
          <w:sz w:val="24"/>
        </w:rPr>
        <w:t>0</w:t>
      </w:r>
      <w:r>
        <w:rPr>
          <w:rFonts w:hint="eastAsia" w:ascii="宋体" w:hAnsi="宋体"/>
          <w:sz w:val="24"/>
        </w:rPr>
        <w:t>%，工程为5%）</w:t>
      </w:r>
      <w:r>
        <w:rPr>
          <w:rFonts w:ascii="宋体" w:hAnsi="宋体"/>
          <w:sz w:val="24"/>
        </w:rPr>
        <w:t>参与评审。</w:t>
      </w:r>
    </w:p>
    <w:p>
      <w:pPr>
        <w:ind w:right="15" w:rightChars="7" w:firstLine="600" w:firstLineChars="250"/>
        <w:rPr>
          <w:rFonts w:ascii="宋体" w:hAnsi="宋体"/>
          <w:sz w:val="24"/>
        </w:rPr>
      </w:pPr>
      <w:r>
        <w:rPr>
          <w:rFonts w:hint="eastAsia" w:ascii="宋体" w:hAnsi="宋体"/>
          <w:sz w:val="24"/>
        </w:rPr>
        <w:t>①</w:t>
      </w:r>
      <w:r>
        <w:rPr>
          <w:rFonts w:ascii="宋体" w:hAnsi="宋体"/>
          <w:sz w:val="24"/>
        </w:rPr>
        <w:t>需将中小企业制造的货物</w:t>
      </w:r>
      <w:r>
        <w:rPr>
          <w:rFonts w:hint="eastAsia" w:ascii="宋体" w:hAnsi="宋体"/>
          <w:sz w:val="24"/>
        </w:rPr>
        <w:t>、</w:t>
      </w:r>
      <w:r>
        <w:rPr>
          <w:rFonts w:ascii="宋体" w:hAnsi="宋体"/>
          <w:sz w:val="24"/>
        </w:rPr>
        <w:t>服务在附件“投标分项报价表”中单独报价；</w:t>
      </w:r>
    </w:p>
    <w:p>
      <w:pPr>
        <w:ind w:left="598" w:leftChars="285" w:right="15" w:rightChars="7"/>
        <w:rPr>
          <w:rFonts w:ascii="宋体" w:hAnsi="宋体"/>
          <w:sz w:val="24"/>
        </w:rPr>
      </w:pPr>
      <w:r>
        <w:rPr>
          <w:rFonts w:hint="eastAsia" w:ascii="宋体" w:hAnsi="宋体"/>
          <w:sz w:val="24"/>
        </w:rPr>
        <w:t>②③按照招标文件的要求提供相应格式的</w:t>
      </w:r>
      <w:r>
        <w:rPr>
          <w:rFonts w:ascii="宋体" w:hAnsi="宋体"/>
          <w:sz w:val="24"/>
        </w:rPr>
        <w:t>《</w:t>
      </w:r>
      <w:r>
        <w:rPr>
          <w:rFonts w:hint="eastAsia" w:ascii="宋体" w:hAnsi="宋体"/>
          <w:sz w:val="24"/>
        </w:rPr>
        <w:t>中小企业声明函</w:t>
      </w:r>
      <w:r>
        <w:rPr>
          <w:rFonts w:ascii="宋体" w:hAnsi="宋体"/>
          <w:sz w:val="24"/>
        </w:rPr>
        <w:t>》</w:t>
      </w:r>
    </w:p>
    <w:p>
      <w:pPr>
        <w:ind w:left="598" w:leftChars="285" w:right="15" w:rightChars="7"/>
        <w:rPr>
          <w:rFonts w:ascii="宋体" w:hAnsi="宋体"/>
          <w:sz w:val="24"/>
        </w:rPr>
      </w:pPr>
      <w:r>
        <w:rPr>
          <w:rFonts w:hint="eastAsia" w:ascii="宋体" w:hAnsi="宋体"/>
          <w:sz w:val="24"/>
        </w:rPr>
        <w:t>2.</w:t>
      </w:r>
      <w:r>
        <w:rPr>
          <w:rFonts w:ascii="宋体" w:hAnsi="宋体"/>
          <w:sz w:val="24"/>
        </w:rPr>
        <w:t xml:space="preserve"> 根据</w:t>
      </w:r>
      <w:r>
        <w:rPr>
          <w:rFonts w:hint="eastAsia" w:ascii="宋体" w:hAnsi="宋体"/>
          <w:sz w:val="24"/>
        </w:rPr>
        <w:t>《关于政府采购支持监狱企业发展有关问题的通知》（财库〔2014〕68 号）</w:t>
      </w:r>
      <w:r>
        <w:rPr>
          <w:rFonts w:ascii="宋体" w:hAnsi="宋体"/>
          <w:sz w:val="24"/>
        </w:rPr>
        <w:t>的规定，监狱企业视同小型、微型企业，享受预留份额、评审中价格扣除等政府采购促进中小企业发展的政府采购政策。</w:t>
      </w:r>
      <w:r>
        <w:rPr>
          <w:rFonts w:hint="eastAsia" w:ascii="宋体" w:hAnsi="宋体"/>
          <w:sz w:val="24"/>
        </w:rPr>
        <w:t>投标</w:t>
      </w:r>
      <w:r>
        <w:rPr>
          <w:rFonts w:ascii="宋体" w:hAnsi="宋体"/>
          <w:sz w:val="24"/>
        </w:rPr>
        <w:t>时需将</w:t>
      </w:r>
      <w:r>
        <w:rPr>
          <w:rFonts w:hint="eastAsia" w:ascii="宋体" w:hAnsi="宋体"/>
          <w:sz w:val="24"/>
        </w:rPr>
        <w:t>监狱企业</w:t>
      </w:r>
      <w:r>
        <w:rPr>
          <w:rFonts w:ascii="宋体" w:hAnsi="宋体"/>
          <w:sz w:val="24"/>
        </w:rPr>
        <w:t>制造的货物</w:t>
      </w:r>
      <w:r>
        <w:rPr>
          <w:rFonts w:hint="eastAsia" w:ascii="宋体" w:hAnsi="宋体"/>
          <w:sz w:val="24"/>
        </w:rPr>
        <w:t>、</w:t>
      </w:r>
      <w:r>
        <w:rPr>
          <w:rFonts w:ascii="宋体" w:hAnsi="宋体"/>
          <w:sz w:val="24"/>
        </w:rPr>
        <w:t>服务在附件“投标分项报价表”中单独报价；</w:t>
      </w:r>
    </w:p>
    <w:p>
      <w:pPr>
        <w:ind w:left="598" w:leftChars="285" w:right="15" w:rightChars="7"/>
        <w:rPr>
          <w:rFonts w:ascii="宋体" w:hAnsi="宋体"/>
          <w:sz w:val="24"/>
        </w:rPr>
      </w:pPr>
      <w:r>
        <w:rPr>
          <w:rFonts w:hint="eastAsia" w:ascii="宋体" w:hAnsi="宋体"/>
          <w:sz w:val="24"/>
        </w:rPr>
        <w:t>3、</w:t>
      </w:r>
      <w:r>
        <w:rPr>
          <w:rFonts w:ascii="宋体" w:hAnsi="宋体"/>
          <w:sz w:val="24"/>
        </w:rPr>
        <w:t>根据</w:t>
      </w:r>
      <w:r>
        <w:rPr>
          <w:rFonts w:hint="eastAsia" w:ascii="宋体" w:hAnsi="宋体"/>
          <w:sz w:val="24"/>
        </w:rPr>
        <w:t>《关于促进残疾人就业政府采购政策的通知》（财库〔2017〕141 号）</w:t>
      </w:r>
      <w:r>
        <w:rPr>
          <w:rFonts w:ascii="宋体" w:hAnsi="宋体"/>
          <w:sz w:val="24"/>
        </w:rPr>
        <w:t>的规定</w:t>
      </w:r>
      <w:r>
        <w:rPr>
          <w:rFonts w:hint="eastAsia" w:ascii="宋体" w:hAnsi="宋体"/>
          <w:sz w:val="24"/>
        </w:rPr>
        <w:t>，残疾人福利性单位视同小型、微型企业，享受预留份额、评审中价格扣除等促进中小企业发展的政府采购政策。残疾人福利性单位属于小型、微型企业的，不重复享受政策。投标</w:t>
      </w:r>
      <w:r>
        <w:rPr>
          <w:rFonts w:ascii="宋体" w:hAnsi="宋体"/>
          <w:sz w:val="24"/>
        </w:rPr>
        <w:t>时需将</w:t>
      </w:r>
      <w:r>
        <w:rPr>
          <w:rFonts w:hint="eastAsia" w:ascii="宋体" w:hAnsi="宋体"/>
          <w:sz w:val="24"/>
        </w:rPr>
        <w:t>监狱企业</w:t>
      </w:r>
      <w:r>
        <w:rPr>
          <w:rFonts w:ascii="宋体" w:hAnsi="宋体"/>
          <w:sz w:val="24"/>
        </w:rPr>
        <w:t>制造的货物</w:t>
      </w:r>
      <w:r>
        <w:rPr>
          <w:rFonts w:hint="eastAsia" w:ascii="宋体" w:hAnsi="宋体"/>
          <w:sz w:val="24"/>
        </w:rPr>
        <w:t>、</w:t>
      </w:r>
      <w:r>
        <w:rPr>
          <w:rFonts w:ascii="宋体" w:hAnsi="宋体"/>
          <w:sz w:val="24"/>
        </w:rPr>
        <w:t>服</w:t>
      </w:r>
      <w:bookmarkStart w:id="0" w:name="_GoBack"/>
      <w:bookmarkEnd w:id="0"/>
      <w:r>
        <w:rPr>
          <w:rFonts w:ascii="宋体" w:hAnsi="宋体"/>
          <w:sz w:val="24"/>
        </w:rPr>
        <w:t>务在附件“投标分项报价表”中单独报价；</w:t>
      </w:r>
    </w:p>
    <w:p>
      <w:pPr>
        <w:ind w:left="598" w:leftChars="285" w:right="15" w:rightChars="7"/>
        <w:rPr>
          <w:rFonts w:ascii="宋体" w:hAnsi="宋体"/>
          <w:sz w:val="24"/>
        </w:rPr>
      </w:pPr>
      <w:r>
        <w:rPr>
          <w:rFonts w:ascii="宋体" w:hAnsi="宋体"/>
          <w:sz w:val="24"/>
        </w:rPr>
        <w:t>4.投标人所投产品如被列入财政部与国家主管部门颁发的节能产品目录或环境标志产品目录或无线局域网产品目录，应提供相关证明，在评标时予以优先采购</w:t>
      </w:r>
      <w:r>
        <w:rPr>
          <w:rFonts w:hint="eastAsia" w:ascii="宋体" w:hAnsi="宋体"/>
          <w:sz w:val="24"/>
        </w:rPr>
        <w:t>。</w:t>
      </w:r>
    </w:p>
    <w:p>
      <w:pPr>
        <w:ind w:left="584" w:leftChars="221" w:right="15" w:rightChars="7" w:hanging="120" w:hangingChars="50"/>
        <w:rPr>
          <w:rFonts w:ascii="宋体" w:hAnsi="宋体"/>
          <w:sz w:val="24"/>
        </w:rPr>
      </w:pPr>
      <w:r>
        <w:rPr>
          <w:rFonts w:ascii="宋体" w:hAnsi="宋体"/>
          <w:sz w:val="24"/>
        </w:rPr>
        <w:t>5.如采购人所采购产品为政府强制采购的节能产品，投标人所投产品的品牌及型号必须为清单中有效期内产品并提供证明文件，否则其投标将作为无效投标被拒绝。</w:t>
      </w:r>
    </w:p>
    <w:p>
      <w:pPr>
        <w:ind w:left="584" w:leftChars="221" w:right="15" w:rightChars="7" w:hanging="120" w:hangingChars="50"/>
        <w:rPr>
          <w:rFonts w:ascii="宋体" w:hAnsi="宋体"/>
          <w:sz w:val="24"/>
        </w:rPr>
      </w:pPr>
      <w:r>
        <w:rPr>
          <w:rFonts w:hint="eastAsia" w:ascii="宋体" w:hAnsi="宋体"/>
          <w:sz w:val="24"/>
        </w:rPr>
        <w:t>特别说明：节能、环保产品必须纳入“中国政府采购网http://www.ccgp.gov.cn”等官方网站“节能、环保产品查询系统”，且以提供的证书复印件为准。对国家认定的节能、环保产品分别给予价格评标总分值4%的加分</w:t>
      </w:r>
    </w:p>
    <w:p>
      <w:pPr>
        <w:rPr>
          <w:rFonts w:ascii="新宋体" w:hAnsi="新宋体" w:eastAsia="新宋体" w:cs="方正小标宋简体"/>
          <w:b/>
          <w:sz w:val="32"/>
          <w:szCs w:val="36"/>
        </w:rPr>
      </w:pPr>
      <w:r>
        <w:rPr>
          <w:rFonts w:hint="eastAsia" w:ascii="新宋体" w:hAnsi="新宋体" w:eastAsia="新宋体" w:cs="方正小标宋简体"/>
          <w:b/>
          <w:sz w:val="32"/>
          <w:szCs w:val="36"/>
        </w:rPr>
        <w:t xml:space="preserve"> </w:t>
      </w:r>
    </w:p>
    <w:p>
      <w:pPr>
        <w:rPr>
          <w:rFonts w:hint="eastAsia" w:ascii="新宋体" w:hAnsi="新宋体" w:eastAsia="新宋体" w:cs="方正小标宋简体"/>
          <w:b/>
          <w:sz w:val="32"/>
          <w:szCs w:val="36"/>
        </w:rPr>
      </w:pPr>
      <w:r>
        <w:rPr>
          <w:rFonts w:hint="eastAsia" w:ascii="新宋体" w:hAnsi="新宋体" w:eastAsia="新宋体" w:cs="方正小标宋简体"/>
          <w:b/>
          <w:sz w:val="32"/>
          <w:szCs w:val="36"/>
        </w:rPr>
        <w:br w:type="page"/>
      </w:r>
    </w:p>
    <w:p>
      <w:pPr>
        <w:jc w:val="center"/>
        <w:rPr>
          <w:rFonts w:ascii="新宋体" w:hAnsi="新宋体" w:eastAsia="新宋体" w:cs="方正小标宋简体"/>
          <w:b/>
          <w:sz w:val="32"/>
          <w:szCs w:val="36"/>
        </w:rPr>
      </w:pPr>
      <w:r>
        <w:rPr>
          <w:rFonts w:hint="eastAsia" w:ascii="新宋体" w:hAnsi="新宋体" w:eastAsia="新宋体" w:cs="方正小标宋简体"/>
          <w:b/>
          <w:sz w:val="32"/>
          <w:szCs w:val="36"/>
        </w:rPr>
        <w:t xml:space="preserve">蚌埠二院消毒供应中心服务外包项目采购意向及需求公示的反馈意见 </w:t>
      </w:r>
    </w:p>
    <w:p>
      <w:pPr>
        <w:rPr>
          <w:rFonts w:ascii="宋体" w:hAnsi="宋体" w:cs="宋体"/>
          <w:sz w:val="28"/>
          <w:szCs w:val="28"/>
        </w:rPr>
      </w:pPr>
      <w:r>
        <w:rPr>
          <w:rFonts w:hint="eastAsia"/>
          <w:sz w:val="28"/>
          <w:szCs w:val="28"/>
          <w:lang w:val="zh-CN"/>
        </w:rPr>
        <w:t>安徽省志成建设工程咨询股份有限公司</w:t>
      </w:r>
      <w:r>
        <w:rPr>
          <w:rFonts w:hint="eastAsia" w:ascii="宋体" w:hAnsi="宋体" w:cs="宋体"/>
          <w:sz w:val="28"/>
          <w:szCs w:val="28"/>
        </w:rPr>
        <w:t>：</w:t>
      </w:r>
    </w:p>
    <w:p>
      <w:pPr>
        <w:ind w:firstLine="560" w:firstLineChars="200"/>
        <w:rPr>
          <w:rFonts w:ascii="宋体" w:hAnsi="宋体" w:cs="宋体"/>
          <w:sz w:val="28"/>
          <w:szCs w:val="28"/>
        </w:rPr>
      </w:pPr>
      <w:r>
        <w:rPr>
          <w:rFonts w:hint="eastAsia" w:ascii="宋体" w:hAnsi="宋体" w:cs="宋体"/>
          <w:sz w:val="28"/>
          <w:szCs w:val="28"/>
        </w:rPr>
        <w:t>针对蚌埠二院消毒供应中心服务外包项目，采购意向及需求公示，我单位反馈意见如下：</w:t>
      </w:r>
    </w:p>
    <w:p>
      <w:pPr>
        <w:ind w:firstLine="560" w:firstLineChars="200"/>
        <w:outlineLvl w:val="0"/>
        <w:rPr>
          <w:rFonts w:ascii="宋体"/>
          <w:sz w:val="28"/>
          <w:szCs w:val="28"/>
        </w:rPr>
      </w:pPr>
      <w:r>
        <w:rPr>
          <w:rFonts w:hint="eastAsia" w:ascii="宋体" w:hAnsi="宋体" w:cs="宋体"/>
          <w:sz w:val="28"/>
          <w:szCs w:val="28"/>
        </w:rPr>
        <w:t>一、需求存在倾向性内容，建议进行修改，修改意见如下：</w:t>
      </w:r>
    </w:p>
    <w:p>
      <w:pPr>
        <w:ind w:left="555"/>
        <w:rPr>
          <w:rFonts w:ascii="宋体"/>
          <w:sz w:val="28"/>
          <w:szCs w:val="28"/>
        </w:rPr>
      </w:pPr>
      <w:r>
        <w:rPr>
          <w:rFonts w:ascii="宋体" w:hAnsi="宋体" w:cs="宋体"/>
          <w:sz w:val="28"/>
          <w:szCs w:val="28"/>
        </w:rPr>
        <w:t>1</w:t>
      </w:r>
      <w:r>
        <w:rPr>
          <w:rFonts w:hint="eastAsia" w:ascii="宋体" w:hAnsi="宋体" w:cs="宋体"/>
          <w:sz w:val="28"/>
          <w:szCs w:val="28"/>
        </w:rPr>
        <w:t>、</w:t>
      </w:r>
    </w:p>
    <w:p>
      <w:pPr>
        <w:ind w:left="555"/>
        <w:rPr>
          <w:rFonts w:ascii="宋体"/>
          <w:sz w:val="28"/>
          <w:szCs w:val="28"/>
        </w:rPr>
      </w:pPr>
      <w:r>
        <w:rPr>
          <w:rFonts w:ascii="宋体" w:hAnsi="宋体" w:cs="宋体"/>
          <w:sz w:val="28"/>
          <w:szCs w:val="28"/>
        </w:rPr>
        <w:t>2</w:t>
      </w:r>
      <w:r>
        <w:rPr>
          <w:rFonts w:hint="eastAsia" w:ascii="宋体" w:hAnsi="宋体" w:cs="宋体"/>
          <w:sz w:val="28"/>
          <w:szCs w:val="28"/>
        </w:rPr>
        <w:t>、</w:t>
      </w:r>
    </w:p>
    <w:p>
      <w:pPr>
        <w:ind w:left="555"/>
        <w:rPr>
          <w:rFonts w:ascii="宋体"/>
          <w:sz w:val="28"/>
          <w:szCs w:val="28"/>
        </w:rPr>
      </w:pPr>
      <w:r>
        <w:rPr>
          <w:rFonts w:hint="eastAsia" w:ascii="宋体" w:hAnsi="宋体" w:cs="宋体"/>
          <w:sz w:val="28"/>
          <w:szCs w:val="28"/>
        </w:rPr>
        <w:t>…</w:t>
      </w:r>
    </w:p>
    <w:p>
      <w:pPr>
        <w:ind w:firstLine="560" w:firstLineChars="200"/>
        <w:outlineLvl w:val="0"/>
        <w:rPr>
          <w:rFonts w:ascii="宋体"/>
          <w:sz w:val="28"/>
          <w:szCs w:val="28"/>
        </w:rPr>
      </w:pPr>
      <w:r>
        <w:rPr>
          <w:rFonts w:hint="eastAsia" w:ascii="宋体" w:hAnsi="宋体" w:cs="宋体"/>
          <w:sz w:val="28"/>
          <w:szCs w:val="28"/>
        </w:rPr>
        <w:t>二、技术需求存在不明确（或不完整）内容，无法报价，建议进行完善，完善意见如下：</w:t>
      </w:r>
    </w:p>
    <w:p>
      <w:pPr>
        <w:ind w:left="555"/>
        <w:rPr>
          <w:rFonts w:ascii="宋体"/>
          <w:sz w:val="28"/>
          <w:szCs w:val="28"/>
        </w:rPr>
      </w:pPr>
      <w:r>
        <w:rPr>
          <w:rFonts w:ascii="宋体" w:hAnsi="宋体" w:cs="宋体"/>
          <w:sz w:val="28"/>
          <w:szCs w:val="28"/>
        </w:rPr>
        <w:t>1</w:t>
      </w:r>
      <w:r>
        <w:rPr>
          <w:rFonts w:hint="eastAsia" w:ascii="宋体" w:hAnsi="宋体" w:cs="宋体"/>
          <w:sz w:val="28"/>
          <w:szCs w:val="28"/>
        </w:rPr>
        <w:t>、</w:t>
      </w:r>
    </w:p>
    <w:p>
      <w:pPr>
        <w:ind w:left="555"/>
        <w:rPr>
          <w:rFonts w:ascii="宋体"/>
          <w:sz w:val="28"/>
          <w:szCs w:val="28"/>
        </w:rPr>
      </w:pPr>
      <w:r>
        <w:rPr>
          <w:rFonts w:ascii="宋体" w:hAnsi="宋体" w:cs="宋体"/>
          <w:sz w:val="28"/>
          <w:szCs w:val="28"/>
        </w:rPr>
        <w:t>2</w:t>
      </w:r>
      <w:r>
        <w:rPr>
          <w:rFonts w:hint="eastAsia" w:ascii="宋体" w:hAnsi="宋体" w:cs="宋体"/>
          <w:sz w:val="28"/>
          <w:szCs w:val="28"/>
        </w:rPr>
        <w:t>、</w:t>
      </w:r>
    </w:p>
    <w:p>
      <w:pPr>
        <w:ind w:left="555"/>
        <w:rPr>
          <w:rFonts w:ascii="宋体"/>
          <w:sz w:val="28"/>
          <w:szCs w:val="28"/>
        </w:rPr>
      </w:pPr>
      <w:r>
        <w:rPr>
          <w:rFonts w:hint="eastAsia" w:ascii="宋体" w:hAnsi="宋体" w:cs="宋体"/>
          <w:sz w:val="28"/>
          <w:szCs w:val="28"/>
        </w:rPr>
        <w:t>…</w:t>
      </w:r>
    </w:p>
    <w:p>
      <w:pPr>
        <w:pStyle w:val="14"/>
        <w:snapToGrid w:val="0"/>
        <w:spacing w:beforeAutospacing="0" w:afterAutospacing="0" w:line="360" w:lineRule="auto"/>
        <w:outlineLvl w:val="2"/>
        <w:rPr>
          <w:rFonts w:ascii="宋体" w:hAnsi="宋体" w:cs="宋体"/>
          <w:bCs/>
          <w:szCs w:val="24"/>
        </w:rPr>
      </w:pPr>
      <w:r>
        <w:rPr>
          <w:rFonts w:hint="eastAsia" w:ascii="宋体" w:hAnsi="宋体" w:cs="宋体"/>
          <w:sz w:val="28"/>
          <w:szCs w:val="28"/>
        </w:rPr>
        <w:t>特此函告</w:t>
      </w:r>
    </w:p>
    <w:p>
      <w:pPr>
        <w:rPr>
          <w:rFonts w:ascii="宋体" w:hAnsi="宋体" w:eastAsia="宋体" w:cs="宋体"/>
          <w:kern w:val="0"/>
          <w:sz w:val="28"/>
          <w:szCs w:val="28"/>
        </w:rPr>
      </w:pPr>
    </w:p>
    <w:p/>
    <w:p>
      <w:pPr>
        <w:rPr>
          <w:rFonts w:ascii="宋体" w:hAnsi="宋体" w:eastAsia="宋体" w:cs="宋体"/>
          <w:kern w:val="0"/>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
    <w:altName w:val="宋体"/>
    <w:panose1 w:val="00000000000000000000"/>
    <w:charset w:val="86"/>
    <w:family w:val="roman"/>
    <w:pitch w:val="default"/>
    <w:sig w:usb0="00000000" w:usb1="00000000" w:usb2="00000010" w:usb3="00000000" w:csb0="00040000" w:csb1="00000000"/>
  </w:font>
  <w:font w:name="新宋体">
    <w:panose1 w:val="02010609030101010101"/>
    <w:charset w:val="86"/>
    <w:family w:val="modern"/>
    <w:pitch w:val="default"/>
    <w:sig w:usb0="00000203" w:usb1="288F0000" w:usb2="0000000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AB57A1"/>
    <w:multiLevelType w:val="singleLevel"/>
    <w:tmpl w:val="E7AB57A1"/>
    <w:lvl w:ilvl="0" w:tentative="0">
      <w:start w:val="1"/>
      <w:numFmt w:val="decimal"/>
      <w:suff w:val="nothing"/>
      <w:lvlText w:val="%1、"/>
      <w:lvlJc w:val="left"/>
    </w:lvl>
  </w:abstractNum>
  <w:abstractNum w:abstractNumId="1">
    <w:nsid w:val="34990EA0"/>
    <w:multiLevelType w:val="multilevel"/>
    <w:tmpl w:val="34990EA0"/>
    <w:lvl w:ilvl="0" w:tentative="0">
      <w:start w:val="1"/>
      <w:numFmt w:val="decimal"/>
      <w:lvlText w:val="%1"/>
      <w:lvlJc w:val="left"/>
      <w:pPr>
        <w:ind w:left="432" w:hanging="432"/>
      </w:pPr>
    </w:lvl>
    <w:lvl w:ilvl="1" w:tentative="0">
      <w:start w:val="1"/>
      <w:numFmt w:val="decimal"/>
      <w:pStyle w:val="3"/>
      <w:lvlText w:val="%1.%2"/>
      <w:lvlJc w:val="left"/>
      <w:pPr>
        <w:ind w:left="1001" w:hanging="576"/>
      </w:pPr>
      <w:rPr>
        <w:rFonts w:hint="default" w:ascii="Times New Roman" w:hAnsi="Times New Roman" w:eastAsia="宋体" w:cs="Times New Roman"/>
        <w:b/>
        <w:sz w:val="24"/>
      </w:rPr>
    </w:lvl>
    <w:lvl w:ilvl="2" w:tentative="0">
      <w:start w:val="1"/>
      <w:numFmt w:val="decimal"/>
      <w:lvlText w:val="%1.%2.%3"/>
      <w:lvlJc w:val="left"/>
      <w:pPr>
        <w:ind w:left="1287" w:hanging="720"/>
      </w:pPr>
      <w:rPr>
        <w:b w:val="0"/>
        <w:sz w:val="24"/>
      </w:r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hZTljMTNiZjRiMGNlYzk0MzU2MGE3MTVkMzExZDMifQ=="/>
  </w:docVars>
  <w:rsids>
    <w:rsidRoot w:val="005F0D25"/>
    <w:rsid w:val="00001AB7"/>
    <w:rsid w:val="000455A0"/>
    <w:rsid w:val="00057EE8"/>
    <w:rsid w:val="000826F6"/>
    <w:rsid w:val="000A3858"/>
    <w:rsid w:val="00100595"/>
    <w:rsid w:val="00103C06"/>
    <w:rsid w:val="001108BE"/>
    <w:rsid w:val="00111564"/>
    <w:rsid w:val="001624A1"/>
    <w:rsid w:val="00172802"/>
    <w:rsid w:val="001E5948"/>
    <w:rsid w:val="001E6438"/>
    <w:rsid w:val="00232398"/>
    <w:rsid w:val="002503E4"/>
    <w:rsid w:val="00295E9E"/>
    <w:rsid w:val="002A5E17"/>
    <w:rsid w:val="002D1234"/>
    <w:rsid w:val="002D3407"/>
    <w:rsid w:val="002D37A6"/>
    <w:rsid w:val="002E7313"/>
    <w:rsid w:val="00322F32"/>
    <w:rsid w:val="00375EB8"/>
    <w:rsid w:val="00391B32"/>
    <w:rsid w:val="00393C04"/>
    <w:rsid w:val="003B2FD4"/>
    <w:rsid w:val="003E0F58"/>
    <w:rsid w:val="003E1F13"/>
    <w:rsid w:val="003F6848"/>
    <w:rsid w:val="00435A2E"/>
    <w:rsid w:val="00446C11"/>
    <w:rsid w:val="004D3EDB"/>
    <w:rsid w:val="004F61F4"/>
    <w:rsid w:val="00507E64"/>
    <w:rsid w:val="00560AB1"/>
    <w:rsid w:val="005F0D25"/>
    <w:rsid w:val="005F1D6A"/>
    <w:rsid w:val="00662AE3"/>
    <w:rsid w:val="006C7FF1"/>
    <w:rsid w:val="006E3AAC"/>
    <w:rsid w:val="00712C50"/>
    <w:rsid w:val="00753E79"/>
    <w:rsid w:val="00794664"/>
    <w:rsid w:val="00794D34"/>
    <w:rsid w:val="007A4073"/>
    <w:rsid w:val="007C403C"/>
    <w:rsid w:val="00815D6B"/>
    <w:rsid w:val="00834EFF"/>
    <w:rsid w:val="0088589E"/>
    <w:rsid w:val="008B782D"/>
    <w:rsid w:val="008C4F97"/>
    <w:rsid w:val="008E306A"/>
    <w:rsid w:val="00916A8B"/>
    <w:rsid w:val="00920722"/>
    <w:rsid w:val="00942DF4"/>
    <w:rsid w:val="00977CBE"/>
    <w:rsid w:val="009B3185"/>
    <w:rsid w:val="009D7E78"/>
    <w:rsid w:val="00A2493D"/>
    <w:rsid w:val="00A34A7E"/>
    <w:rsid w:val="00A41C4B"/>
    <w:rsid w:val="00A47EAA"/>
    <w:rsid w:val="00A67BD8"/>
    <w:rsid w:val="00A7131D"/>
    <w:rsid w:val="00A84C3A"/>
    <w:rsid w:val="00A95062"/>
    <w:rsid w:val="00B943C0"/>
    <w:rsid w:val="00BA4BC5"/>
    <w:rsid w:val="00BB5340"/>
    <w:rsid w:val="00C0304B"/>
    <w:rsid w:val="00C62788"/>
    <w:rsid w:val="00C74048"/>
    <w:rsid w:val="00C9132B"/>
    <w:rsid w:val="00D571F8"/>
    <w:rsid w:val="00D839B9"/>
    <w:rsid w:val="00DE288B"/>
    <w:rsid w:val="00DE7C14"/>
    <w:rsid w:val="00DF393F"/>
    <w:rsid w:val="00EA7C54"/>
    <w:rsid w:val="00ED2959"/>
    <w:rsid w:val="00F03C8E"/>
    <w:rsid w:val="00F15A22"/>
    <w:rsid w:val="00F37F26"/>
    <w:rsid w:val="00F63116"/>
    <w:rsid w:val="00F86786"/>
    <w:rsid w:val="00F926FD"/>
    <w:rsid w:val="00FC0DEB"/>
    <w:rsid w:val="00FF25A2"/>
    <w:rsid w:val="010B006C"/>
    <w:rsid w:val="02F95C17"/>
    <w:rsid w:val="03F618F7"/>
    <w:rsid w:val="05BB0E6A"/>
    <w:rsid w:val="07884358"/>
    <w:rsid w:val="088157DD"/>
    <w:rsid w:val="0EA531C5"/>
    <w:rsid w:val="102871DA"/>
    <w:rsid w:val="134C6DF2"/>
    <w:rsid w:val="13CC35BB"/>
    <w:rsid w:val="16D809D5"/>
    <w:rsid w:val="19E1315F"/>
    <w:rsid w:val="1A4F03D7"/>
    <w:rsid w:val="1A5F0800"/>
    <w:rsid w:val="1A8A1094"/>
    <w:rsid w:val="1D1D28BB"/>
    <w:rsid w:val="1FAA6BA2"/>
    <w:rsid w:val="20701E96"/>
    <w:rsid w:val="207324C6"/>
    <w:rsid w:val="21580108"/>
    <w:rsid w:val="23480159"/>
    <w:rsid w:val="24AE53EF"/>
    <w:rsid w:val="257122AF"/>
    <w:rsid w:val="2D925870"/>
    <w:rsid w:val="312D0AC1"/>
    <w:rsid w:val="3183424E"/>
    <w:rsid w:val="367D0B77"/>
    <w:rsid w:val="38A077D5"/>
    <w:rsid w:val="39E72900"/>
    <w:rsid w:val="3A59465F"/>
    <w:rsid w:val="3AF41949"/>
    <w:rsid w:val="3BBA09A9"/>
    <w:rsid w:val="3CDD2385"/>
    <w:rsid w:val="3D3F4BEA"/>
    <w:rsid w:val="3E971897"/>
    <w:rsid w:val="41137BC4"/>
    <w:rsid w:val="41617943"/>
    <w:rsid w:val="43BA7AD7"/>
    <w:rsid w:val="442C0469"/>
    <w:rsid w:val="44C73830"/>
    <w:rsid w:val="45156B9E"/>
    <w:rsid w:val="46796E24"/>
    <w:rsid w:val="46DB1D87"/>
    <w:rsid w:val="480656EC"/>
    <w:rsid w:val="48212119"/>
    <w:rsid w:val="4B3F7A97"/>
    <w:rsid w:val="4D071309"/>
    <w:rsid w:val="4DA43E48"/>
    <w:rsid w:val="4F4306C2"/>
    <w:rsid w:val="52FB7715"/>
    <w:rsid w:val="558D68E8"/>
    <w:rsid w:val="55C51B2F"/>
    <w:rsid w:val="56DD42FB"/>
    <w:rsid w:val="57FE5A50"/>
    <w:rsid w:val="5C267B9A"/>
    <w:rsid w:val="5C6E4623"/>
    <w:rsid w:val="5D480901"/>
    <w:rsid w:val="5F2B5C40"/>
    <w:rsid w:val="5FF4532C"/>
    <w:rsid w:val="630E2FA0"/>
    <w:rsid w:val="63985972"/>
    <w:rsid w:val="6479387F"/>
    <w:rsid w:val="64EA6690"/>
    <w:rsid w:val="64FF6797"/>
    <w:rsid w:val="665E38CA"/>
    <w:rsid w:val="67EF7DEE"/>
    <w:rsid w:val="68ED244F"/>
    <w:rsid w:val="6D663E0B"/>
    <w:rsid w:val="6E5318EA"/>
    <w:rsid w:val="6F915E09"/>
    <w:rsid w:val="6F922F7F"/>
    <w:rsid w:val="703F64BC"/>
    <w:rsid w:val="73E27294"/>
    <w:rsid w:val="754828ED"/>
    <w:rsid w:val="754941F9"/>
    <w:rsid w:val="75BD7996"/>
    <w:rsid w:val="76AC78FF"/>
    <w:rsid w:val="77536588"/>
    <w:rsid w:val="795F7F1A"/>
    <w:rsid w:val="79A46F58"/>
    <w:rsid w:val="7B465852"/>
    <w:rsid w:val="7F7E0C5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bCs/>
      <w:kern w:val="44"/>
      <w:sz w:val="30"/>
      <w:szCs w:val="44"/>
    </w:rPr>
  </w:style>
  <w:style w:type="paragraph" w:styleId="3">
    <w:name w:val="heading 2"/>
    <w:basedOn w:val="1"/>
    <w:next w:val="1"/>
    <w:autoRedefine/>
    <w:qFormat/>
    <w:uiPriority w:val="9"/>
    <w:pPr>
      <w:keepNext/>
      <w:keepLines/>
      <w:numPr>
        <w:ilvl w:val="1"/>
        <w:numId w:val="1"/>
      </w:numPr>
      <w:spacing w:before="260" w:after="260" w:line="416" w:lineRule="auto"/>
      <w:outlineLvl w:val="1"/>
    </w:pPr>
    <w:rPr>
      <w:rFonts w:ascii="Calibri Light" w:hAnsi="Calibri Light"/>
      <w:b/>
      <w:bCs/>
      <w:sz w:val="32"/>
      <w:szCs w:val="32"/>
    </w:rPr>
  </w:style>
  <w:style w:type="paragraph" w:styleId="4">
    <w:name w:val="heading 3"/>
    <w:basedOn w:val="1"/>
    <w:next w:val="1"/>
    <w:qFormat/>
    <w:uiPriority w:val="0"/>
    <w:pPr>
      <w:keepNext/>
      <w:keepLines/>
      <w:spacing w:before="260" w:after="260" w:line="416" w:lineRule="auto"/>
      <w:outlineLvl w:val="2"/>
    </w:pPr>
    <w:rPr>
      <w:b/>
      <w:bCs/>
      <w:kern w:val="0"/>
      <w:sz w:val="32"/>
      <w:szCs w:val="32"/>
    </w:rPr>
  </w:style>
  <w:style w:type="character" w:default="1" w:styleId="19">
    <w:name w:val="Default Paragraph Font"/>
    <w:semiHidden/>
    <w:unhideWhenUsed/>
    <w:qFormat/>
    <w:uiPriority w:val="1"/>
  </w:style>
  <w:style w:type="table" w:default="1" w:styleId="17">
    <w:name w:val="Normal Table"/>
    <w:semiHidden/>
    <w:unhideWhenUsed/>
    <w:uiPriority w:val="99"/>
    <w:tblPr>
      <w:tblCellMar>
        <w:top w:w="0" w:type="dxa"/>
        <w:left w:w="108" w:type="dxa"/>
        <w:bottom w:w="0" w:type="dxa"/>
        <w:right w:w="108" w:type="dxa"/>
      </w:tblCellMar>
    </w:tblPr>
  </w:style>
  <w:style w:type="paragraph" w:styleId="5">
    <w:name w:val="annotation text"/>
    <w:basedOn w:val="1"/>
    <w:link w:val="27"/>
    <w:semiHidden/>
    <w:unhideWhenUsed/>
    <w:qFormat/>
    <w:uiPriority w:val="99"/>
    <w:pPr>
      <w:jc w:val="left"/>
    </w:pPr>
  </w:style>
  <w:style w:type="paragraph" w:styleId="6">
    <w:name w:val="Body Text"/>
    <w:basedOn w:val="1"/>
    <w:next w:val="1"/>
    <w:autoRedefine/>
    <w:qFormat/>
    <w:uiPriority w:val="0"/>
    <w:rPr>
      <w:rFonts w:ascii="宋体" w:hAnsi="Arial"/>
      <w:sz w:val="28"/>
    </w:rPr>
  </w:style>
  <w:style w:type="paragraph" w:styleId="7">
    <w:name w:val="Body Text Indent"/>
    <w:basedOn w:val="1"/>
    <w:next w:val="8"/>
    <w:qFormat/>
    <w:uiPriority w:val="0"/>
    <w:pPr>
      <w:ind w:left="420" w:leftChars="200"/>
    </w:pPr>
  </w:style>
  <w:style w:type="paragraph" w:styleId="8">
    <w:name w:val="envelope return"/>
    <w:basedOn w:val="1"/>
    <w:autoRedefine/>
    <w:qFormat/>
    <w:uiPriority w:val="0"/>
    <w:pPr>
      <w:snapToGrid w:val="0"/>
    </w:pPr>
    <w:rPr>
      <w:rFonts w:ascii="Arial" w:hAnsi="Arial" w:cs="Arial"/>
    </w:rPr>
  </w:style>
  <w:style w:type="paragraph" w:styleId="9">
    <w:name w:val="Plain Text"/>
    <w:basedOn w:val="1"/>
    <w:next w:val="1"/>
    <w:autoRedefine/>
    <w:qFormat/>
    <w:uiPriority w:val="0"/>
    <w:rPr>
      <w:rFonts w:ascii="宋体" w:hAnsi="Courier New"/>
    </w:rPr>
  </w:style>
  <w:style w:type="paragraph" w:styleId="10">
    <w:name w:val="Balloon Text"/>
    <w:basedOn w:val="1"/>
    <w:link w:val="29"/>
    <w:semiHidden/>
    <w:unhideWhenUsed/>
    <w:qFormat/>
    <w:uiPriority w:val="99"/>
    <w:rPr>
      <w:sz w:val="18"/>
      <w:szCs w:val="18"/>
    </w:rPr>
  </w:style>
  <w:style w:type="paragraph" w:styleId="11">
    <w:name w:val="footer"/>
    <w:basedOn w:val="1"/>
    <w:link w:val="24"/>
    <w:unhideWhenUsed/>
    <w:qFormat/>
    <w:uiPriority w:val="99"/>
    <w:pPr>
      <w:tabs>
        <w:tab w:val="center" w:pos="4153"/>
        <w:tab w:val="right" w:pos="8306"/>
      </w:tabs>
      <w:snapToGrid w:val="0"/>
      <w:jc w:val="left"/>
    </w:pPr>
    <w:rPr>
      <w:sz w:val="18"/>
      <w:szCs w:val="18"/>
    </w:rPr>
  </w:style>
  <w:style w:type="paragraph" w:styleId="12">
    <w:name w:val="header"/>
    <w:basedOn w:val="1"/>
    <w:link w:val="2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autoRedefine/>
    <w:unhideWhenUsed/>
    <w:qFormat/>
    <w:uiPriority w:val="39"/>
  </w:style>
  <w:style w:type="paragraph" w:styleId="14">
    <w:name w:val="Normal (Web)"/>
    <w:basedOn w:val="1"/>
    <w:unhideWhenUsed/>
    <w:qFormat/>
    <w:uiPriority w:val="0"/>
    <w:pPr>
      <w:spacing w:beforeAutospacing="1" w:afterAutospacing="1"/>
      <w:jc w:val="left"/>
    </w:pPr>
    <w:rPr>
      <w:kern w:val="0"/>
      <w:sz w:val="24"/>
    </w:rPr>
  </w:style>
  <w:style w:type="paragraph" w:styleId="15">
    <w:name w:val="annotation subject"/>
    <w:basedOn w:val="5"/>
    <w:next w:val="5"/>
    <w:link w:val="28"/>
    <w:autoRedefine/>
    <w:semiHidden/>
    <w:unhideWhenUsed/>
    <w:qFormat/>
    <w:uiPriority w:val="99"/>
    <w:rPr>
      <w:b/>
      <w:bCs/>
    </w:rPr>
  </w:style>
  <w:style w:type="paragraph" w:styleId="16">
    <w:name w:val="Body Text First Indent 2"/>
    <w:basedOn w:val="7"/>
    <w:next w:val="1"/>
    <w:qFormat/>
    <w:uiPriority w:val="0"/>
    <w:pPr>
      <w:ind w:firstLine="420" w:firstLineChars="200"/>
    </w:pPr>
  </w:style>
  <w:style w:type="table" w:styleId="18">
    <w:name w:val="Table Grid"/>
    <w:basedOn w:val="17"/>
    <w:autoRedefine/>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page number"/>
    <w:basedOn w:val="19"/>
    <w:qFormat/>
    <w:uiPriority w:val="0"/>
  </w:style>
  <w:style w:type="character" w:styleId="21">
    <w:name w:val="annotation reference"/>
    <w:basedOn w:val="19"/>
    <w:semiHidden/>
    <w:unhideWhenUsed/>
    <w:qFormat/>
    <w:uiPriority w:val="99"/>
    <w:rPr>
      <w:sz w:val="21"/>
      <w:szCs w:val="21"/>
    </w:rPr>
  </w:style>
  <w:style w:type="paragraph" w:customStyle="1" w:styleId="22">
    <w:name w:val="Default"/>
    <w:autoRedefine/>
    <w:qFormat/>
    <w:uiPriority w:val="0"/>
    <w:pPr>
      <w:widowControl w:val="0"/>
      <w:autoSpaceDE w:val="0"/>
      <w:autoSpaceDN w:val="0"/>
      <w:adjustRightInd w:val="0"/>
    </w:pPr>
    <w:rPr>
      <w:rFonts w:ascii="......." w:hAnsi="Calibri" w:eastAsia="......." w:cs="......."/>
      <w:color w:val="000000"/>
      <w:sz w:val="24"/>
      <w:szCs w:val="24"/>
      <w:lang w:val="en-US" w:eastAsia="zh-CN" w:bidi="ar-SA"/>
    </w:rPr>
  </w:style>
  <w:style w:type="character" w:customStyle="1" w:styleId="23">
    <w:name w:val="页眉 Char"/>
    <w:basedOn w:val="19"/>
    <w:link w:val="12"/>
    <w:autoRedefine/>
    <w:semiHidden/>
    <w:qFormat/>
    <w:uiPriority w:val="99"/>
    <w:rPr>
      <w:sz w:val="18"/>
      <w:szCs w:val="18"/>
    </w:rPr>
  </w:style>
  <w:style w:type="character" w:customStyle="1" w:styleId="24">
    <w:name w:val="页脚 Char"/>
    <w:basedOn w:val="19"/>
    <w:link w:val="11"/>
    <w:semiHidden/>
    <w:qFormat/>
    <w:uiPriority w:val="99"/>
    <w:rPr>
      <w:sz w:val="18"/>
      <w:szCs w:val="18"/>
    </w:rPr>
  </w:style>
  <w:style w:type="paragraph" w:customStyle="1" w:styleId="25">
    <w:name w:val="列出段落1"/>
    <w:basedOn w:val="1"/>
    <w:qFormat/>
    <w:uiPriority w:val="34"/>
    <w:pPr>
      <w:ind w:firstLine="420" w:firstLineChars="200"/>
    </w:pPr>
  </w:style>
  <w:style w:type="paragraph" w:styleId="26">
    <w:name w:val="List Paragraph"/>
    <w:basedOn w:val="1"/>
    <w:autoRedefine/>
    <w:unhideWhenUsed/>
    <w:qFormat/>
    <w:uiPriority w:val="99"/>
    <w:pPr>
      <w:ind w:firstLine="420" w:firstLineChars="200"/>
    </w:pPr>
  </w:style>
  <w:style w:type="character" w:customStyle="1" w:styleId="27">
    <w:name w:val="批注文字 Char"/>
    <w:basedOn w:val="19"/>
    <w:link w:val="5"/>
    <w:autoRedefine/>
    <w:semiHidden/>
    <w:qFormat/>
    <w:uiPriority w:val="99"/>
    <w:rPr>
      <w:kern w:val="2"/>
      <w:sz w:val="21"/>
      <w:szCs w:val="22"/>
    </w:rPr>
  </w:style>
  <w:style w:type="character" w:customStyle="1" w:styleId="28">
    <w:name w:val="批注主题 Char"/>
    <w:basedOn w:val="27"/>
    <w:link w:val="15"/>
    <w:autoRedefine/>
    <w:semiHidden/>
    <w:qFormat/>
    <w:uiPriority w:val="99"/>
    <w:rPr>
      <w:b/>
      <w:bCs/>
      <w:kern w:val="2"/>
      <w:sz w:val="21"/>
      <w:szCs w:val="22"/>
    </w:rPr>
  </w:style>
  <w:style w:type="character" w:customStyle="1" w:styleId="29">
    <w:name w:val="批注框文本 Char"/>
    <w:basedOn w:val="19"/>
    <w:link w:val="10"/>
    <w:autoRedefine/>
    <w:semiHidden/>
    <w:qFormat/>
    <w:uiPriority w:val="99"/>
    <w:rPr>
      <w:kern w:val="2"/>
      <w:sz w:val="18"/>
      <w:szCs w:val="18"/>
    </w:rPr>
  </w:style>
  <w:style w:type="paragraph" w:customStyle="1" w:styleId="30">
    <w:name w:val="正文11"/>
    <w:basedOn w:val="1"/>
    <w:autoRedefine/>
    <w:qFormat/>
    <w:uiPriority w:val="0"/>
    <w:pPr>
      <w:adjustRightInd w:val="0"/>
      <w:spacing w:line="318" w:lineRule="atLeast"/>
      <w:ind w:left="369" w:firstLine="369"/>
      <w:textAlignment w:val="baseline"/>
    </w:pPr>
    <w:rPr>
      <w:rFonts w:ascii="宋体" w:hAnsi="Calibri"/>
      <w:szCs w:val="20"/>
    </w:rPr>
  </w:style>
  <w:style w:type="paragraph" w:customStyle="1" w:styleId="31">
    <w:name w:val="正文1"/>
    <w:autoRedefine/>
    <w:qFormat/>
    <w:uiPriority w:val="0"/>
    <w:rPr>
      <w:rFonts w:ascii="Times New Roman" w:hAnsi="Times New Roman" w:eastAsia="Times New Roman" w:cs="Times New Roman"/>
      <w:sz w:val="24"/>
      <w:szCs w:val="24"/>
      <w:lang w:val="en-US" w:eastAsia="zh-CN" w:bidi="ar-SA"/>
    </w:rPr>
  </w:style>
  <w:style w:type="table" w:customStyle="1" w:styleId="32">
    <w:name w:val="Plain Table 1"/>
    <w:basedOn w:val="17"/>
    <w:autoRedefine/>
    <w:qFormat/>
    <w:uiPriority w:val="41"/>
    <w:tblPr>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
    <w:tblStylePr w:type="firstRow">
      <w:rPr>
        <w:b/>
        <w:bCs/>
      </w:rPr>
    </w:tblStylePr>
    <w:tblStylePr w:type="lastRow">
      <w:rPr>
        <w:b/>
        <w:bCs/>
      </w:rPr>
      <w:tcPr>
        <w:tcBorders>
          <w:top w:val="double" w:color="BEBEBE" w:sz="4"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cPr>
        <w:shd w:val="clear" w:color="auto" w:fill="F1F1F1"/>
      </w:tcPr>
    </w:tblStylePr>
    <w:tblStylePr w:type="band1Horz">
      <w:tcPr>
        <w:shd w:val="clear" w:color="auto" w:fill="F1F1F1"/>
      </w:tcPr>
    </w:tblStylePr>
  </w:style>
  <w:style w:type="paragraph" w:customStyle="1" w:styleId="33">
    <w:name w:val="正文_0"/>
    <w:autoRedefine/>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34">
    <w:name w:val="font51"/>
    <w:basedOn w:val="19"/>
    <w:autoRedefine/>
    <w:qFormat/>
    <w:uiPriority w:val="0"/>
    <w:rPr>
      <w:rFonts w:ascii="Calibri" w:hAnsi="Calibri" w:cs="Calibri"/>
      <w:color w:val="000000"/>
      <w:sz w:val="22"/>
      <w:szCs w:val="22"/>
      <w:u w:val="none"/>
    </w:rPr>
  </w:style>
  <w:style w:type="paragraph" w:customStyle="1" w:styleId="35">
    <w:name w:val="列表段落1"/>
    <w:basedOn w:val="1"/>
    <w:autoRedefine/>
    <w:qFormat/>
    <w:uiPriority w:val="34"/>
    <w:pPr>
      <w:ind w:firstLine="420" w:firstLineChars="200"/>
    </w:pPr>
    <w:rPr>
      <w:rFonts w:ascii="Calibri" w:hAnsi="Calibri"/>
      <w:szCs w:val="24"/>
    </w:rPr>
  </w:style>
  <w:style w:type="character" w:customStyle="1" w:styleId="36">
    <w:name w:val="font21"/>
    <w:basedOn w:val="19"/>
    <w:autoRedefine/>
    <w:qFormat/>
    <w:uiPriority w:val="0"/>
    <w:rPr>
      <w:rFonts w:hint="eastAsia" w:ascii="宋体" w:hAnsi="宋体" w:eastAsia="宋体" w:cs="宋体"/>
      <w:color w:val="000000"/>
      <w:sz w:val="24"/>
      <w:szCs w:val="24"/>
      <w:u w:val="none"/>
    </w:rPr>
  </w:style>
  <w:style w:type="paragraph" w:customStyle="1" w:styleId="37">
    <w:name w:val="GHT-正文"/>
    <w:basedOn w:val="1"/>
    <w:autoRedefine/>
    <w:qFormat/>
    <w:uiPriority w:val="0"/>
    <w:pPr>
      <w:adjustRightInd w:val="0"/>
      <w:spacing w:line="400" w:lineRule="exact"/>
      <w:ind w:firstLine="520" w:firstLineChars="200"/>
      <w:textAlignment w:val="baseline"/>
    </w:pPr>
    <w:rPr>
      <w:color w:val="000000"/>
      <w:spacing w:val="10"/>
      <w:kern w:val="0"/>
      <w:sz w:val="24"/>
    </w:rPr>
  </w:style>
  <w:style w:type="table" w:customStyle="1" w:styleId="38">
    <w:name w:val="Table Normal"/>
    <w:autoRedefine/>
    <w:unhideWhenUsed/>
    <w:qFormat/>
    <w:uiPriority w:val="2"/>
    <w:tblPr>
      <w:tblCellMar>
        <w:top w:w="0" w:type="dxa"/>
        <w:left w:w="0" w:type="dxa"/>
        <w:bottom w:w="0" w:type="dxa"/>
        <w:right w:w="0" w:type="dxa"/>
      </w:tblCellMar>
    </w:tblPr>
  </w:style>
  <w:style w:type="paragraph" w:customStyle="1" w:styleId="39">
    <w:name w:val="Table Paragraph"/>
    <w:basedOn w:val="1"/>
    <w:autoRedefine/>
    <w:qFormat/>
    <w:uiPriority w:val="1"/>
    <w:pPr>
      <w:autoSpaceDE w:val="0"/>
      <w:autoSpaceDN w:val="0"/>
      <w:jc w:val="left"/>
    </w:pPr>
    <w:rPr>
      <w:rFonts w:ascii="宋体" w:hAnsi="宋体" w:eastAsia="宋体" w:cs="宋体"/>
      <w:kern w:val="0"/>
      <w:sz w:val="22"/>
      <w:lang w:val="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5344</Words>
  <Characters>5699</Characters>
  <Lines>65</Lines>
  <Paragraphs>18</Paragraphs>
  <TotalTime>16</TotalTime>
  <ScaleCrop>false</ScaleCrop>
  <LinksUpToDate>false</LinksUpToDate>
  <CharactersWithSpaces>5726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2022-08-11T10:08:00Z</dcterms:created>
  <dc:creator>admin</dc:creator>
  <cp:lastModifiedBy>Administrator</cp:lastModifiedBy>
  <cp:lastPrinted>2024-06-18T03:15:00Z</cp:lastPrinted>
  <dcterms:modified xsi:type="dcterms:W3CDTF">2024-06-21T02:05:20Z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E413ABD78EAF4DD2AE3493271C476C59_13</vt:lpwstr>
  </property>
</Properties>
</file>